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99CE7" w14:textId="77777777" w:rsidR="00B04A8C" w:rsidRDefault="00B04A8C">
      <w:pPr>
        <w:rPr>
          <w:b/>
          <w:szCs w:val="28"/>
          <w:lang w:val="sv-SE"/>
        </w:rPr>
      </w:pPr>
    </w:p>
    <w:p w14:paraId="24351AD8" w14:textId="77777777" w:rsidR="00B04A8C" w:rsidRDefault="00B04A8C">
      <w:pPr>
        <w:rPr>
          <w:b/>
          <w:szCs w:val="28"/>
          <w:lang w:val="sv-SE"/>
        </w:rPr>
      </w:pPr>
    </w:p>
    <w:p w14:paraId="24538A8A" w14:textId="77777777" w:rsidR="00B04A8C" w:rsidRDefault="00B04A8C">
      <w:pPr>
        <w:rPr>
          <w:b/>
          <w:szCs w:val="28"/>
          <w:lang w:val="sv-SE"/>
        </w:rPr>
      </w:pPr>
    </w:p>
    <w:p w14:paraId="33F6A135" w14:textId="77777777" w:rsidR="00B04A8C" w:rsidRDefault="00B04A8C">
      <w:pPr>
        <w:rPr>
          <w:b/>
          <w:szCs w:val="28"/>
          <w:lang w:val="sv-SE"/>
        </w:rPr>
      </w:pPr>
    </w:p>
    <w:p w14:paraId="17933643" w14:textId="77777777" w:rsidR="00B04A8C" w:rsidRDefault="00B04A8C">
      <w:pPr>
        <w:rPr>
          <w:b/>
          <w:szCs w:val="28"/>
          <w:lang w:val="sv-SE"/>
        </w:rPr>
      </w:pPr>
    </w:p>
    <w:p w14:paraId="0595712D" w14:textId="77777777" w:rsidR="00EF6CB2" w:rsidRPr="00587463" w:rsidRDefault="00B27756">
      <w:pPr>
        <w:rPr>
          <w:b/>
          <w:szCs w:val="28"/>
          <w:lang w:val="sv-SE"/>
        </w:rPr>
      </w:pPr>
      <w:r w:rsidRPr="00B07D2B">
        <w:rPr>
          <w:b/>
          <w:szCs w:val="28"/>
          <w:lang w:val="sv-SE"/>
        </w:rPr>
        <w:t xml:space="preserve">Slutrapport </w:t>
      </w:r>
      <w:r w:rsidR="0031312E" w:rsidRPr="00B07D2B">
        <w:rPr>
          <w:b/>
          <w:szCs w:val="28"/>
          <w:lang w:val="sv-SE"/>
        </w:rPr>
        <w:t xml:space="preserve">beträffande </w:t>
      </w:r>
      <w:r w:rsidR="006F5B5B">
        <w:rPr>
          <w:b/>
          <w:szCs w:val="28"/>
          <w:lang w:val="sv-SE"/>
        </w:rPr>
        <w:t xml:space="preserve">branschprojekt om </w:t>
      </w:r>
      <w:r w:rsidR="0031312E" w:rsidRPr="00B07D2B">
        <w:rPr>
          <w:b/>
          <w:szCs w:val="28"/>
          <w:lang w:val="sv-SE"/>
        </w:rPr>
        <w:t>förekomst av DON i 20</w:t>
      </w:r>
      <w:r w:rsidR="00B07D2B">
        <w:rPr>
          <w:b/>
          <w:szCs w:val="28"/>
          <w:lang w:val="sv-SE"/>
        </w:rPr>
        <w:t>1</w:t>
      </w:r>
      <w:r w:rsidR="00817001">
        <w:rPr>
          <w:b/>
          <w:szCs w:val="28"/>
          <w:lang w:val="sv-SE"/>
        </w:rPr>
        <w:t>5</w:t>
      </w:r>
      <w:r w:rsidR="00AD64D0" w:rsidRPr="00B07D2B">
        <w:rPr>
          <w:b/>
          <w:szCs w:val="28"/>
          <w:lang w:val="sv-SE"/>
        </w:rPr>
        <w:t xml:space="preserve"> års spannmålsskörd i Sverig</w:t>
      </w:r>
      <w:r w:rsidR="00336E21" w:rsidRPr="00B07D2B">
        <w:rPr>
          <w:b/>
          <w:szCs w:val="28"/>
          <w:lang w:val="sv-SE"/>
        </w:rPr>
        <w:t>e</w:t>
      </w:r>
    </w:p>
    <w:p w14:paraId="51236DBD" w14:textId="77777777" w:rsidR="00EF6CB2" w:rsidRPr="00942AD8" w:rsidRDefault="00EF6CB2">
      <w:pPr>
        <w:rPr>
          <w:sz w:val="22"/>
          <w:lang w:val="sv-SE"/>
        </w:rPr>
      </w:pPr>
    </w:p>
    <w:p w14:paraId="5735D3CF" w14:textId="77777777" w:rsidR="00EF6CB2" w:rsidRPr="007C215A" w:rsidRDefault="00452931" w:rsidP="007C215A">
      <w:pPr>
        <w:pStyle w:val="Liststycke"/>
        <w:numPr>
          <w:ilvl w:val="0"/>
          <w:numId w:val="4"/>
        </w:numPr>
        <w:rPr>
          <w:b/>
          <w:sz w:val="22"/>
          <w:szCs w:val="22"/>
          <w:lang w:val="sv-SE"/>
        </w:rPr>
      </w:pPr>
      <w:r w:rsidRPr="007C215A">
        <w:rPr>
          <w:b/>
          <w:sz w:val="22"/>
          <w:szCs w:val="22"/>
          <w:lang w:val="sv-SE"/>
        </w:rPr>
        <w:t>Sammanfattning</w:t>
      </w:r>
    </w:p>
    <w:p w14:paraId="470B9878" w14:textId="77777777" w:rsidR="00EF6CB2" w:rsidRPr="00336E21" w:rsidRDefault="00452931">
      <w:pPr>
        <w:rPr>
          <w:b/>
          <w:sz w:val="22"/>
          <w:szCs w:val="22"/>
          <w:lang w:val="sv-SE"/>
        </w:rPr>
      </w:pPr>
      <w:r w:rsidRPr="00336E21">
        <w:rPr>
          <w:sz w:val="22"/>
          <w:szCs w:val="22"/>
          <w:lang w:val="sv-SE"/>
        </w:rPr>
        <w:t>Detta branschgemensamma proje</w:t>
      </w:r>
      <w:r w:rsidR="00B739E1">
        <w:rPr>
          <w:sz w:val="22"/>
          <w:szCs w:val="22"/>
          <w:lang w:val="sv-SE"/>
        </w:rPr>
        <w:t>kt har haft som syfte att</w:t>
      </w:r>
      <w:r w:rsidR="00BA3DEB">
        <w:rPr>
          <w:sz w:val="22"/>
          <w:szCs w:val="22"/>
          <w:lang w:val="sv-SE"/>
        </w:rPr>
        <w:t>,</w:t>
      </w:r>
      <w:r w:rsidRPr="00336E21">
        <w:rPr>
          <w:sz w:val="22"/>
          <w:szCs w:val="22"/>
          <w:lang w:val="sv-SE"/>
        </w:rPr>
        <w:t xml:space="preserve"> </w:t>
      </w:r>
      <w:r w:rsidR="00F34CFD">
        <w:rPr>
          <w:sz w:val="22"/>
          <w:szCs w:val="22"/>
          <w:lang w:val="sv-SE"/>
        </w:rPr>
        <w:t>genom</w:t>
      </w:r>
      <w:r w:rsidRPr="00336E21">
        <w:rPr>
          <w:sz w:val="22"/>
          <w:szCs w:val="22"/>
          <w:lang w:val="sv-SE"/>
        </w:rPr>
        <w:t xml:space="preserve"> provtagning av spannmål </w:t>
      </w:r>
      <w:r w:rsidR="00BF52D5">
        <w:rPr>
          <w:sz w:val="22"/>
          <w:szCs w:val="22"/>
          <w:lang w:val="sv-SE"/>
        </w:rPr>
        <w:t>ge en bild av</w:t>
      </w:r>
      <w:r w:rsidR="00B07D2B">
        <w:rPr>
          <w:sz w:val="22"/>
          <w:szCs w:val="22"/>
          <w:lang w:val="sv-SE"/>
        </w:rPr>
        <w:t xml:space="preserve"> </w:t>
      </w:r>
      <w:r w:rsidR="00817001">
        <w:rPr>
          <w:sz w:val="22"/>
          <w:szCs w:val="22"/>
          <w:lang w:val="sv-SE"/>
        </w:rPr>
        <w:t xml:space="preserve">halterna av </w:t>
      </w:r>
      <w:proofErr w:type="spellStart"/>
      <w:r w:rsidR="00817001">
        <w:rPr>
          <w:sz w:val="22"/>
          <w:szCs w:val="22"/>
          <w:lang w:val="sv-SE"/>
        </w:rPr>
        <w:t>mykotoxiner</w:t>
      </w:r>
      <w:proofErr w:type="spellEnd"/>
      <w:r w:rsidR="00817001">
        <w:rPr>
          <w:sz w:val="22"/>
          <w:szCs w:val="22"/>
          <w:lang w:val="sv-SE"/>
        </w:rPr>
        <w:t xml:space="preserve"> </w:t>
      </w:r>
      <w:r w:rsidR="00B07D2B">
        <w:rPr>
          <w:sz w:val="22"/>
          <w:szCs w:val="22"/>
          <w:lang w:val="sv-SE"/>
        </w:rPr>
        <w:t>i 201</w:t>
      </w:r>
      <w:r w:rsidR="00817001">
        <w:rPr>
          <w:sz w:val="22"/>
          <w:szCs w:val="22"/>
          <w:lang w:val="sv-SE"/>
        </w:rPr>
        <w:t>5</w:t>
      </w:r>
      <w:r w:rsidR="00B07D2B">
        <w:rPr>
          <w:sz w:val="22"/>
          <w:szCs w:val="22"/>
          <w:lang w:val="sv-SE"/>
        </w:rPr>
        <w:t xml:space="preserve"> års skörd av spannmål i Sverige. </w:t>
      </w:r>
      <w:r w:rsidR="00411E9D">
        <w:rPr>
          <w:sz w:val="22"/>
          <w:szCs w:val="22"/>
          <w:lang w:val="sv-SE"/>
        </w:rPr>
        <w:t>Proverna har i</w:t>
      </w:r>
      <w:r w:rsidR="00817001">
        <w:rPr>
          <w:sz w:val="22"/>
          <w:szCs w:val="22"/>
          <w:lang w:val="sv-SE"/>
        </w:rPr>
        <w:t xml:space="preserve"> första hand analyserats med avseende på förekomst </w:t>
      </w:r>
      <w:proofErr w:type="spellStart"/>
      <w:r w:rsidR="00817001">
        <w:rPr>
          <w:sz w:val="22"/>
          <w:szCs w:val="22"/>
          <w:lang w:val="sv-SE"/>
        </w:rPr>
        <w:t>deoxynivalenol</w:t>
      </w:r>
      <w:proofErr w:type="spellEnd"/>
      <w:r w:rsidR="00817001">
        <w:rPr>
          <w:sz w:val="22"/>
          <w:szCs w:val="22"/>
          <w:lang w:val="sv-SE"/>
        </w:rPr>
        <w:t xml:space="preserve"> (DON), men i viss utsträckning har även </w:t>
      </w:r>
      <w:r w:rsidR="00D623F4">
        <w:rPr>
          <w:sz w:val="22"/>
          <w:szCs w:val="22"/>
          <w:lang w:val="sv-SE"/>
        </w:rPr>
        <w:t xml:space="preserve">analyser </w:t>
      </w:r>
      <w:r w:rsidR="00817001">
        <w:rPr>
          <w:sz w:val="22"/>
          <w:szCs w:val="22"/>
          <w:lang w:val="sv-SE"/>
        </w:rPr>
        <w:t xml:space="preserve">av </w:t>
      </w:r>
      <w:proofErr w:type="spellStart"/>
      <w:r w:rsidR="00817001" w:rsidRPr="00336E21">
        <w:rPr>
          <w:sz w:val="22"/>
          <w:szCs w:val="22"/>
          <w:lang w:val="sv-SE"/>
        </w:rPr>
        <w:t>Zearalenon</w:t>
      </w:r>
      <w:proofErr w:type="spellEnd"/>
      <w:r w:rsidR="00817001">
        <w:rPr>
          <w:sz w:val="22"/>
          <w:szCs w:val="22"/>
          <w:lang w:val="sv-SE"/>
        </w:rPr>
        <w:t xml:space="preserve"> (ZEA)</w:t>
      </w:r>
      <w:r w:rsidR="006F5B5B">
        <w:rPr>
          <w:sz w:val="22"/>
          <w:szCs w:val="22"/>
          <w:lang w:val="sv-SE"/>
        </w:rPr>
        <w:t xml:space="preserve"> och</w:t>
      </w:r>
      <w:r w:rsidR="00817001" w:rsidRPr="00336E21">
        <w:rPr>
          <w:sz w:val="22"/>
          <w:szCs w:val="22"/>
          <w:lang w:val="sv-SE"/>
        </w:rPr>
        <w:t xml:space="preserve"> </w:t>
      </w:r>
      <w:proofErr w:type="gramStart"/>
      <w:r w:rsidR="00817001" w:rsidRPr="00336E21">
        <w:rPr>
          <w:sz w:val="22"/>
          <w:szCs w:val="22"/>
          <w:lang w:val="sv-SE"/>
        </w:rPr>
        <w:t>T</w:t>
      </w:r>
      <w:r w:rsidR="00817001">
        <w:rPr>
          <w:sz w:val="22"/>
          <w:szCs w:val="22"/>
          <w:lang w:val="sv-SE"/>
        </w:rPr>
        <w:t>2 /</w:t>
      </w:r>
      <w:r w:rsidR="00817001" w:rsidRPr="00336E21">
        <w:rPr>
          <w:sz w:val="22"/>
          <w:szCs w:val="22"/>
          <w:lang w:val="sv-SE"/>
        </w:rPr>
        <w:t>HT-2</w:t>
      </w:r>
      <w:proofErr w:type="gramEnd"/>
      <w:r w:rsidR="00D623F4">
        <w:rPr>
          <w:sz w:val="22"/>
          <w:szCs w:val="22"/>
          <w:lang w:val="sv-SE"/>
        </w:rPr>
        <w:t xml:space="preserve"> utförts</w:t>
      </w:r>
      <w:r w:rsidR="00817001">
        <w:rPr>
          <w:sz w:val="22"/>
          <w:szCs w:val="22"/>
          <w:lang w:val="sv-SE"/>
        </w:rPr>
        <w:t xml:space="preserve">. Viss provtagning och analysering genomfördes redan innan skörd, </w:t>
      </w:r>
      <w:proofErr w:type="gramStart"/>
      <w:r w:rsidR="00817001">
        <w:rPr>
          <w:sz w:val="22"/>
          <w:szCs w:val="22"/>
          <w:lang w:val="sv-SE"/>
        </w:rPr>
        <w:t>dvs</w:t>
      </w:r>
      <w:proofErr w:type="gramEnd"/>
      <w:r w:rsidR="00817001">
        <w:rPr>
          <w:sz w:val="22"/>
          <w:szCs w:val="22"/>
          <w:lang w:val="sv-SE"/>
        </w:rPr>
        <w:t xml:space="preserve"> prover togs i växande gröda, men fokus har legat på att</w:t>
      </w:r>
      <w:r w:rsidR="00411E9D">
        <w:rPr>
          <w:sz w:val="22"/>
          <w:szCs w:val="22"/>
          <w:lang w:val="sv-SE"/>
        </w:rPr>
        <w:t xml:space="preserve"> genom en omfattande provtagning på skördeleveranser</w:t>
      </w:r>
      <w:r w:rsidR="00817001">
        <w:rPr>
          <w:sz w:val="22"/>
          <w:szCs w:val="22"/>
          <w:lang w:val="sv-SE"/>
        </w:rPr>
        <w:t xml:space="preserve"> följa utvecklingen i hela riket successivt under hela skördeperioden. Sammantaget</w:t>
      </w:r>
      <w:r w:rsidR="00587463">
        <w:rPr>
          <w:sz w:val="22"/>
          <w:szCs w:val="22"/>
          <w:lang w:val="sv-SE"/>
        </w:rPr>
        <w:t xml:space="preserve"> </w:t>
      </w:r>
      <w:r w:rsidR="00817001">
        <w:rPr>
          <w:sz w:val="22"/>
          <w:szCs w:val="22"/>
          <w:lang w:val="sv-SE"/>
        </w:rPr>
        <w:t xml:space="preserve">kan konstateras att </w:t>
      </w:r>
      <w:r w:rsidR="00587463">
        <w:rPr>
          <w:sz w:val="22"/>
          <w:szCs w:val="22"/>
          <w:lang w:val="sv-SE"/>
        </w:rPr>
        <w:t>problem</w:t>
      </w:r>
      <w:r w:rsidR="00411E9D">
        <w:rPr>
          <w:sz w:val="22"/>
          <w:szCs w:val="22"/>
          <w:lang w:val="sv-SE"/>
        </w:rPr>
        <w:t>en</w:t>
      </w:r>
      <w:r w:rsidR="00587463">
        <w:rPr>
          <w:sz w:val="22"/>
          <w:szCs w:val="22"/>
          <w:lang w:val="sv-SE"/>
        </w:rPr>
        <w:t xml:space="preserve"> med DON</w:t>
      </w:r>
      <w:r w:rsidR="00817001">
        <w:rPr>
          <w:sz w:val="22"/>
          <w:szCs w:val="22"/>
          <w:lang w:val="sv-SE"/>
        </w:rPr>
        <w:t xml:space="preserve"> varit betydligt mindre än de tidigare år som liknande projekt genomförts (2011-2014)</w:t>
      </w:r>
      <w:r w:rsidR="00587463">
        <w:rPr>
          <w:sz w:val="22"/>
          <w:szCs w:val="22"/>
          <w:lang w:val="sv-SE"/>
        </w:rPr>
        <w:t xml:space="preserve">. </w:t>
      </w:r>
      <w:r w:rsidR="00817001">
        <w:rPr>
          <w:sz w:val="22"/>
          <w:szCs w:val="22"/>
          <w:lang w:val="sv-SE"/>
        </w:rPr>
        <w:t>Detta innebär emellertid inte en frånvaro av problem</w:t>
      </w:r>
      <w:r w:rsidR="004A7496">
        <w:rPr>
          <w:sz w:val="22"/>
          <w:szCs w:val="22"/>
          <w:lang w:val="sv-SE"/>
        </w:rPr>
        <w:t>,</w:t>
      </w:r>
      <w:r w:rsidR="00817001">
        <w:rPr>
          <w:sz w:val="22"/>
          <w:szCs w:val="22"/>
          <w:lang w:val="sv-SE"/>
        </w:rPr>
        <w:t xml:space="preserve"> utan </w:t>
      </w:r>
      <w:r w:rsidR="00411E9D">
        <w:rPr>
          <w:sz w:val="22"/>
          <w:szCs w:val="22"/>
          <w:lang w:val="sv-SE"/>
        </w:rPr>
        <w:t>provtagningen</w:t>
      </w:r>
      <w:r w:rsidR="00817001">
        <w:rPr>
          <w:sz w:val="22"/>
          <w:szCs w:val="22"/>
          <w:lang w:val="sv-SE"/>
        </w:rPr>
        <w:t xml:space="preserve"> visade</w:t>
      </w:r>
      <w:r w:rsidR="00A168FA">
        <w:rPr>
          <w:sz w:val="22"/>
          <w:szCs w:val="22"/>
          <w:lang w:val="sv-SE"/>
        </w:rPr>
        <w:t xml:space="preserve"> </w:t>
      </w:r>
      <w:r w:rsidR="006A30AD">
        <w:rPr>
          <w:sz w:val="22"/>
          <w:szCs w:val="22"/>
          <w:lang w:val="sv-SE"/>
        </w:rPr>
        <w:t>att det i enstaka havreleveranser förekom</w:t>
      </w:r>
      <w:r w:rsidR="00093EDB">
        <w:rPr>
          <w:sz w:val="22"/>
          <w:szCs w:val="22"/>
          <w:lang w:val="sv-SE"/>
        </w:rPr>
        <w:t xml:space="preserve"> </w:t>
      </w:r>
      <w:r w:rsidR="00411E9D">
        <w:rPr>
          <w:sz w:val="22"/>
          <w:szCs w:val="22"/>
          <w:lang w:val="sv-SE"/>
        </w:rPr>
        <w:t xml:space="preserve">höga halter, </w:t>
      </w:r>
      <w:proofErr w:type="gramStart"/>
      <w:r w:rsidR="00411E9D">
        <w:rPr>
          <w:sz w:val="22"/>
          <w:szCs w:val="22"/>
          <w:lang w:val="sv-SE"/>
        </w:rPr>
        <w:t>dvs</w:t>
      </w:r>
      <w:proofErr w:type="gramEnd"/>
      <w:r w:rsidR="00411E9D">
        <w:rPr>
          <w:sz w:val="22"/>
          <w:szCs w:val="22"/>
          <w:lang w:val="sv-SE"/>
        </w:rPr>
        <w:t xml:space="preserve"> halter </w:t>
      </w:r>
      <w:r w:rsidR="00BA3DEB">
        <w:rPr>
          <w:sz w:val="22"/>
          <w:szCs w:val="22"/>
          <w:lang w:val="sv-SE"/>
        </w:rPr>
        <w:t xml:space="preserve">över </w:t>
      </w:r>
      <w:r w:rsidR="004A7496">
        <w:rPr>
          <w:sz w:val="22"/>
          <w:szCs w:val="22"/>
          <w:lang w:val="sv-SE"/>
        </w:rPr>
        <w:t xml:space="preserve">det av EU fastställda </w:t>
      </w:r>
      <w:r w:rsidR="00BA3DEB">
        <w:rPr>
          <w:sz w:val="22"/>
          <w:szCs w:val="22"/>
          <w:lang w:val="sv-SE"/>
        </w:rPr>
        <w:t>gränsvärdet för havre avs</w:t>
      </w:r>
      <w:r w:rsidR="00411E9D">
        <w:rPr>
          <w:sz w:val="22"/>
          <w:szCs w:val="22"/>
          <w:lang w:val="sv-SE"/>
        </w:rPr>
        <w:t>ett för</w:t>
      </w:r>
      <w:r w:rsidR="006F5B5B">
        <w:rPr>
          <w:sz w:val="22"/>
          <w:szCs w:val="22"/>
          <w:lang w:val="sv-SE"/>
        </w:rPr>
        <w:t xml:space="preserve"> livsmedel på 1750 µg/kg. Dessa</w:t>
      </w:r>
      <w:r w:rsidR="004A7496">
        <w:rPr>
          <w:sz w:val="22"/>
          <w:szCs w:val="22"/>
          <w:lang w:val="sv-SE"/>
        </w:rPr>
        <w:t xml:space="preserve"> leveranser </w:t>
      </w:r>
      <w:r w:rsidR="00411E9D">
        <w:rPr>
          <w:sz w:val="22"/>
          <w:szCs w:val="22"/>
          <w:lang w:val="sv-SE"/>
        </w:rPr>
        <w:t xml:space="preserve">återfanns </w:t>
      </w:r>
      <w:r w:rsidR="0095049D">
        <w:rPr>
          <w:sz w:val="22"/>
          <w:szCs w:val="22"/>
          <w:lang w:val="sv-SE"/>
        </w:rPr>
        <w:t>i första hand lokal</w:t>
      </w:r>
      <w:r w:rsidR="006F5B5B">
        <w:rPr>
          <w:sz w:val="22"/>
          <w:szCs w:val="22"/>
          <w:lang w:val="sv-SE"/>
        </w:rPr>
        <w:t>t</w:t>
      </w:r>
      <w:r w:rsidR="006A30AD">
        <w:rPr>
          <w:sz w:val="22"/>
          <w:szCs w:val="22"/>
          <w:lang w:val="sv-SE"/>
        </w:rPr>
        <w:t xml:space="preserve"> i västra Sverige</w:t>
      </w:r>
      <w:r w:rsidR="00411E9D">
        <w:rPr>
          <w:sz w:val="22"/>
          <w:szCs w:val="22"/>
          <w:lang w:val="sv-SE"/>
        </w:rPr>
        <w:t>, men i viss utsträckning även i Mälardalen</w:t>
      </w:r>
      <w:r w:rsidR="006A30AD">
        <w:rPr>
          <w:sz w:val="22"/>
          <w:szCs w:val="22"/>
          <w:lang w:val="sv-SE"/>
        </w:rPr>
        <w:t>.  B</w:t>
      </w:r>
      <w:r w:rsidR="00AF105E" w:rsidRPr="00336E21">
        <w:rPr>
          <w:sz w:val="22"/>
          <w:szCs w:val="22"/>
          <w:lang w:val="sv-SE"/>
        </w:rPr>
        <w:t xml:space="preserve">eträffande </w:t>
      </w:r>
      <w:proofErr w:type="spellStart"/>
      <w:r w:rsidR="00AF105E" w:rsidRPr="00336E21">
        <w:rPr>
          <w:sz w:val="22"/>
          <w:szCs w:val="22"/>
          <w:lang w:val="sv-SE"/>
        </w:rPr>
        <w:t>mykotoxinerna</w:t>
      </w:r>
      <w:proofErr w:type="spellEnd"/>
      <w:r w:rsidR="00AF105E" w:rsidRPr="00336E21">
        <w:rPr>
          <w:sz w:val="22"/>
          <w:szCs w:val="22"/>
          <w:lang w:val="sv-SE"/>
        </w:rPr>
        <w:t xml:space="preserve"> </w:t>
      </w:r>
      <w:proofErr w:type="spellStart"/>
      <w:r w:rsidR="00AF105E" w:rsidRPr="00336E21">
        <w:rPr>
          <w:sz w:val="22"/>
          <w:szCs w:val="22"/>
          <w:lang w:val="sv-SE"/>
        </w:rPr>
        <w:t>Zearalenon</w:t>
      </w:r>
      <w:proofErr w:type="spellEnd"/>
      <w:r w:rsidR="00B739E1">
        <w:rPr>
          <w:sz w:val="22"/>
          <w:szCs w:val="22"/>
          <w:lang w:val="sv-SE"/>
        </w:rPr>
        <w:t xml:space="preserve"> (ZEA)</w:t>
      </w:r>
      <w:r w:rsidR="006F5B5B">
        <w:rPr>
          <w:sz w:val="22"/>
          <w:szCs w:val="22"/>
          <w:lang w:val="sv-SE"/>
        </w:rPr>
        <w:t xml:space="preserve"> och</w:t>
      </w:r>
      <w:r w:rsidR="00AF105E" w:rsidRPr="00336E21">
        <w:rPr>
          <w:sz w:val="22"/>
          <w:szCs w:val="22"/>
          <w:lang w:val="sv-SE"/>
        </w:rPr>
        <w:t xml:space="preserve"> T</w:t>
      </w:r>
      <w:r w:rsidR="006F5B5B">
        <w:rPr>
          <w:sz w:val="22"/>
          <w:szCs w:val="22"/>
          <w:lang w:val="sv-SE"/>
        </w:rPr>
        <w:t>2/</w:t>
      </w:r>
      <w:r w:rsidR="00AF105E" w:rsidRPr="00336E21">
        <w:rPr>
          <w:sz w:val="22"/>
          <w:szCs w:val="22"/>
          <w:lang w:val="sv-SE"/>
        </w:rPr>
        <w:t xml:space="preserve"> HT-2</w:t>
      </w:r>
      <w:r w:rsidR="006A30AD">
        <w:rPr>
          <w:sz w:val="22"/>
          <w:szCs w:val="22"/>
          <w:lang w:val="sv-SE"/>
        </w:rPr>
        <w:t xml:space="preserve"> kunde konstateras ett fall av </w:t>
      </w:r>
      <w:r w:rsidR="006F5B5B">
        <w:rPr>
          <w:sz w:val="22"/>
          <w:szCs w:val="22"/>
          <w:lang w:val="sv-SE"/>
        </w:rPr>
        <w:t>T2/HT-2</w:t>
      </w:r>
      <w:r w:rsidR="006A30AD">
        <w:rPr>
          <w:sz w:val="22"/>
          <w:szCs w:val="22"/>
          <w:lang w:val="sv-SE"/>
        </w:rPr>
        <w:t xml:space="preserve"> över det av EU satt</w:t>
      </w:r>
      <w:r w:rsidR="00D623F4">
        <w:rPr>
          <w:sz w:val="22"/>
          <w:szCs w:val="22"/>
          <w:lang w:val="sv-SE"/>
        </w:rPr>
        <w:t>a</w:t>
      </w:r>
      <w:r w:rsidR="006A30AD">
        <w:rPr>
          <w:sz w:val="22"/>
          <w:szCs w:val="22"/>
          <w:lang w:val="sv-SE"/>
        </w:rPr>
        <w:t xml:space="preserve"> riktvärde</w:t>
      </w:r>
      <w:r w:rsidR="006F5B5B">
        <w:rPr>
          <w:sz w:val="22"/>
          <w:szCs w:val="22"/>
          <w:lang w:val="sv-SE"/>
        </w:rPr>
        <w:t>t (1000 µg/kg)</w:t>
      </w:r>
      <w:r w:rsidR="006A30AD">
        <w:rPr>
          <w:sz w:val="22"/>
          <w:szCs w:val="22"/>
          <w:lang w:val="sv-SE"/>
        </w:rPr>
        <w:t>. R</w:t>
      </w:r>
      <w:r w:rsidRPr="00336E21">
        <w:rPr>
          <w:sz w:val="22"/>
          <w:szCs w:val="22"/>
          <w:lang w:val="sv-SE"/>
        </w:rPr>
        <w:t>esultaten</w:t>
      </w:r>
      <w:r w:rsidR="00A168FA">
        <w:rPr>
          <w:sz w:val="22"/>
          <w:szCs w:val="22"/>
          <w:lang w:val="sv-SE"/>
        </w:rPr>
        <w:t xml:space="preserve"> av provtagningarna</w:t>
      </w:r>
      <w:r w:rsidRPr="00336E21">
        <w:rPr>
          <w:sz w:val="22"/>
          <w:szCs w:val="22"/>
          <w:lang w:val="sv-SE"/>
        </w:rPr>
        <w:t xml:space="preserve"> har fortlöpande rapportera</w:t>
      </w:r>
      <w:r w:rsidR="00383A20">
        <w:rPr>
          <w:sz w:val="22"/>
          <w:szCs w:val="22"/>
          <w:lang w:val="sv-SE"/>
        </w:rPr>
        <w:t>ts i form av</w:t>
      </w:r>
      <w:r w:rsidRPr="00336E21">
        <w:rPr>
          <w:sz w:val="22"/>
          <w:szCs w:val="22"/>
          <w:lang w:val="sv-SE"/>
        </w:rPr>
        <w:t xml:space="preserve"> </w:t>
      </w:r>
      <w:r w:rsidR="00E5161A">
        <w:rPr>
          <w:sz w:val="22"/>
          <w:szCs w:val="22"/>
          <w:lang w:val="sv-SE"/>
        </w:rPr>
        <w:t>l</w:t>
      </w:r>
      <w:r w:rsidRPr="00336E21">
        <w:rPr>
          <w:sz w:val="22"/>
          <w:szCs w:val="22"/>
          <w:lang w:val="sv-SE"/>
        </w:rPr>
        <w:t>ägesrapporter under skördeper</w:t>
      </w:r>
      <w:r w:rsidR="00336E21">
        <w:rPr>
          <w:sz w:val="22"/>
          <w:szCs w:val="22"/>
          <w:lang w:val="sv-SE"/>
        </w:rPr>
        <w:t>i</w:t>
      </w:r>
      <w:r w:rsidRPr="00336E21">
        <w:rPr>
          <w:sz w:val="22"/>
          <w:szCs w:val="22"/>
          <w:lang w:val="sv-SE"/>
        </w:rPr>
        <w:t>oden</w:t>
      </w:r>
      <w:r w:rsidR="00C559C0" w:rsidRPr="00336E21">
        <w:rPr>
          <w:sz w:val="22"/>
          <w:szCs w:val="22"/>
          <w:lang w:val="sv-SE"/>
        </w:rPr>
        <w:t xml:space="preserve">. </w:t>
      </w:r>
      <w:r w:rsidRPr="00336E21">
        <w:rPr>
          <w:sz w:val="22"/>
          <w:szCs w:val="22"/>
          <w:lang w:val="sv-SE"/>
        </w:rPr>
        <w:t xml:space="preserve"> </w:t>
      </w:r>
      <w:r w:rsidR="00587463">
        <w:rPr>
          <w:sz w:val="22"/>
          <w:szCs w:val="22"/>
          <w:lang w:val="sv-SE"/>
        </w:rPr>
        <w:t xml:space="preserve">Liksom tidigare år togs det fram en </w:t>
      </w:r>
      <w:r w:rsidRPr="00336E21">
        <w:rPr>
          <w:sz w:val="22"/>
          <w:szCs w:val="22"/>
          <w:lang w:val="sv-SE"/>
        </w:rPr>
        <w:t>Branschrekommendation</w:t>
      </w:r>
      <w:r w:rsidR="00C559C0" w:rsidRPr="00336E21">
        <w:rPr>
          <w:sz w:val="22"/>
          <w:szCs w:val="22"/>
          <w:lang w:val="sv-SE"/>
        </w:rPr>
        <w:t xml:space="preserve"> för </w:t>
      </w:r>
      <w:r w:rsidR="00587463">
        <w:rPr>
          <w:sz w:val="22"/>
          <w:szCs w:val="22"/>
          <w:lang w:val="sv-SE"/>
        </w:rPr>
        <w:t xml:space="preserve">hur handeln skall </w:t>
      </w:r>
      <w:r w:rsidR="00C559C0" w:rsidRPr="00336E21">
        <w:rPr>
          <w:sz w:val="22"/>
          <w:szCs w:val="22"/>
          <w:lang w:val="sv-SE"/>
        </w:rPr>
        <w:t>ha</w:t>
      </w:r>
      <w:r w:rsidR="00A42F6C">
        <w:rPr>
          <w:sz w:val="22"/>
          <w:szCs w:val="22"/>
          <w:lang w:val="sv-SE"/>
        </w:rPr>
        <w:t xml:space="preserve">ntera förekomst av </w:t>
      </w:r>
      <w:r w:rsidR="00C559C0" w:rsidRPr="00336E21">
        <w:rPr>
          <w:sz w:val="22"/>
          <w:szCs w:val="22"/>
          <w:lang w:val="sv-SE"/>
        </w:rPr>
        <w:t>toxiner</w:t>
      </w:r>
      <w:r w:rsidR="00264C14">
        <w:rPr>
          <w:sz w:val="22"/>
          <w:szCs w:val="22"/>
          <w:lang w:val="sv-SE"/>
        </w:rPr>
        <w:t xml:space="preserve"> i samband med mottagning av spannmål</w:t>
      </w:r>
      <w:r w:rsidR="00587463">
        <w:rPr>
          <w:sz w:val="22"/>
          <w:szCs w:val="22"/>
          <w:lang w:val="sv-SE"/>
        </w:rPr>
        <w:t>.</w:t>
      </w:r>
      <w:r w:rsidR="00C559C0" w:rsidRPr="00336E21">
        <w:rPr>
          <w:sz w:val="22"/>
          <w:szCs w:val="22"/>
          <w:lang w:val="sv-SE"/>
        </w:rPr>
        <w:t xml:space="preserve"> </w:t>
      </w:r>
      <w:r w:rsidR="00587463">
        <w:rPr>
          <w:sz w:val="22"/>
          <w:szCs w:val="22"/>
          <w:lang w:val="sv-SE"/>
        </w:rPr>
        <w:t xml:space="preserve"> </w:t>
      </w:r>
    </w:p>
    <w:p w14:paraId="22E51F7E" w14:textId="77777777" w:rsidR="006B10AC" w:rsidRPr="00BD6704" w:rsidRDefault="006B10AC" w:rsidP="0031312E">
      <w:pPr>
        <w:ind w:right="908"/>
        <w:rPr>
          <w:b/>
          <w:i/>
          <w:sz w:val="22"/>
          <w:lang w:val="sv-SE"/>
        </w:rPr>
      </w:pPr>
    </w:p>
    <w:p w14:paraId="4AF5EDD4" w14:textId="77777777" w:rsidR="0031312E" w:rsidRPr="007C215A" w:rsidRDefault="0031312E" w:rsidP="007C215A">
      <w:pPr>
        <w:pStyle w:val="Liststycke"/>
        <w:numPr>
          <w:ilvl w:val="0"/>
          <w:numId w:val="4"/>
        </w:numPr>
        <w:ind w:right="908"/>
        <w:rPr>
          <w:b/>
          <w:sz w:val="22"/>
          <w:lang w:val="sv-SE"/>
        </w:rPr>
      </w:pPr>
      <w:r w:rsidRPr="007C215A">
        <w:rPr>
          <w:b/>
          <w:sz w:val="22"/>
          <w:lang w:val="sv-SE"/>
        </w:rPr>
        <w:t>Bakgrund</w:t>
      </w:r>
    </w:p>
    <w:p w14:paraId="57B1BBAD" w14:textId="77777777" w:rsidR="006A30AD" w:rsidRDefault="00B07D2B" w:rsidP="0031312E">
      <w:pPr>
        <w:ind w:right="908"/>
        <w:rPr>
          <w:sz w:val="22"/>
          <w:lang w:val="sv-SE"/>
        </w:rPr>
      </w:pPr>
      <w:r>
        <w:rPr>
          <w:sz w:val="22"/>
          <w:lang w:val="sv-SE"/>
        </w:rPr>
        <w:t xml:space="preserve">Under de senaste åren har problemen med DON i spannmål varit </w:t>
      </w:r>
      <w:r w:rsidR="004426A2">
        <w:rPr>
          <w:sz w:val="22"/>
          <w:lang w:val="sv-SE"/>
        </w:rPr>
        <w:t xml:space="preserve">allmänt förekommande, även om </w:t>
      </w:r>
      <w:r w:rsidR="00411E9D">
        <w:rPr>
          <w:sz w:val="22"/>
          <w:lang w:val="sv-SE"/>
        </w:rPr>
        <w:t>det</w:t>
      </w:r>
      <w:r w:rsidR="004426A2">
        <w:rPr>
          <w:sz w:val="22"/>
          <w:lang w:val="sv-SE"/>
        </w:rPr>
        <w:t xml:space="preserve"> varierat stort mellan åren. </w:t>
      </w:r>
      <w:r>
        <w:rPr>
          <w:sz w:val="22"/>
          <w:lang w:val="sv-SE"/>
        </w:rPr>
        <w:t xml:space="preserve"> </w:t>
      </w:r>
      <w:r w:rsidR="00F34CFD">
        <w:rPr>
          <w:sz w:val="22"/>
          <w:lang w:val="sv-SE"/>
        </w:rPr>
        <w:t>Därför har företagen</w:t>
      </w:r>
      <w:r w:rsidR="00EC0CF0">
        <w:rPr>
          <w:sz w:val="22"/>
          <w:lang w:val="sv-SE"/>
        </w:rPr>
        <w:t xml:space="preserve"> inom</w:t>
      </w:r>
      <w:r w:rsidR="00F34CFD">
        <w:rPr>
          <w:sz w:val="22"/>
          <w:lang w:val="sv-SE"/>
        </w:rPr>
        <w:t xml:space="preserve"> spannmålshandeln</w:t>
      </w:r>
      <w:r w:rsidR="00F728C7">
        <w:rPr>
          <w:sz w:val="22"/>
          <w:lang w:val="sv-SE"/>
        </w:rPr>
        <w:t xml:space="preserve"> </w:t>
      </w:r>
      <w:r w:rsidR="00383A20">
        <w:rPr>
          <w:sz w:val="22"/>
          <w:lang w:val="sv-SE"/>
        </w:rPr>
        <w:t>sedan 2011</w:t>
      </w:r>
      <w:r w:rsidR="00F34CFD">
        <w:rPr>
          <w:sz w:val="22"/>
          <w:lang w:val="sv-SE"/>
        </w:rPr>
        <w:t xml:space="preserve"> drivit ett gemensamt </w:t>
      </w:r>
      <w:r w:rsidR="00B27756" w:rsidRPr="00BD6704">
        <w:rPr>
          <w:sz w:val="22"/>
          <w:lang w:val="sv-SE"/>
        </w:rPr>
        <w:t>provtagningsprojekt</w:t>
      </w:r>
      <w:r w:rsidR="006A30AD">
        <w:rPr>
          <w:sz w:val="22"/>
          <w:lang w:val="sv-SE"/>
        </w:rPr>
        <w:t>. Branschens samarbete och projektup</w:t>
      </w:r>
      <w:r w:rsidR="004426A2">
        <w:rPr>
          <w:sz w:val="22"/>
          <w:lang w:val="sv-SE"/>
        </w:rPr>
        <w:t>plägg har utvecklats under åren. F</w:t>
      </w:r>
      <w:r w:rsidR="006A30AD">
        <w:rPr>
          <w:sz w:val="22"/>
          <w:lang w:val="sv-SE"/>
        </w:rPr>
        <w:t xml:space="preserve">örsta året </w:t>
      </w:r>
      <w:r w:rsidR="004426A2">
        <w:rPr>
          <w:sz w:val="22"/>
          <w:lang w:val="sv-SE"/>
        </w:rPr>
        <w:t>lades</w:t>
      </w:r>
      <w:r w:rsidR="006A30AD">
        <w:rPr>
          <w:sz w:val="22"/>
          <w:lang w:val="sv-SE"/>
        </w:rPr>
        <w:t xml:space="preserve"> fokus på provtagning innan skörd för att förbereda marknaden på att hantera eventuella problem. I takt med ökad kunskap och utvecklad provtagnings- och analysmetodik, </w:t>
      </w:r>
      <w:r w:rsidR="00411E9D">
        <w:rPr>
          <w:sz w:val="22"/>
          <w:lang w:val="sv-SE"/>
        </w:rPr>
        <w:t>ha</w:t>
      </w:r>
      <w:r w:rsidR="004426A2">
        <w:rPr>
          <w:sz w:val="22"/>
          <w:lang w:val="sv-SE"/>
        </w:rPr>
        <w:t xml:space="preserve">r fokus flyttats över mot </w:t>
      </w:r>
      <w:r w:rsidR="006A30AD">
        <w:rPr>
          <w:sz w:val="22"/>
          <w:lang w:val="sv-SE"/>
        </w:rPr>
        <w:t xml:space="preserve">att samla hela branschens löpande provtagning </w:t>
      </w:r>
      <w:r w:rsidR="004426A2">
        <w:rPr>
          <w:sz w:val="22"/>
          <w:lang w:val="sv-SE"/>
        </w:rPr>
        <w:t xml:space="preserve">under skörd i ett gemensamt </w:t>
      </w:r>
      <w:r w:rsidR="00A42F6C">
        <w:rPr>
          <w:sz w:val="22"/>
          <w:lang w:val="sv-SE"/>
        </w:rPr>
        <w:t>fakta</w:t>
      </w:r>
      <w:r w:rsidR="004426A2">
        <w:rPr>
          <w:sz w:val="22"/>
          <w:lang w:val="sv-SE"/>
        </w:rPr>
        <w:t xml:space="preserve">underlag. På så sätt skapas ett omfattande </w:t>
      </w:r>
      <w:r w:rsidR="0095049D">
        <w:rPr>
          <w:sz w:val="22"/>
          <w:lang w:val="sv-SE"/>
        </w:rPr>
        <w:t>material</w:t>
      </w:r>
      <w:r w:rsidR="004426A2">
        <w:rPr>
          <w:sz w:val="22"/>
          <w:lang w:val="sv-SE"/>
        </w:rPr>
        <w:t xml:space="preserve"> som ger en mycket bra bild av </w:t>
      </w:r>
      <w:r w:rsidR="006A30AD">
        <w:rPr>
          <w:sz w:val="22"/>
          <w:lang w:val="sv-SE"/>
        </w:rPr>
        <w:t>problemens omfattning</w:t>
      </w:r>
      <w:r w:rsidR="0095049D">
        <w:rPr>
          <w:sz w:val="22"/>
          <w:lang w:val="sv-SE"/>
        </w:rPr>
        <w:t>, lokalisering</w:t>
      </w:r>
      <w:r w:rsidR="004426A2">
        <w:rPr>
          <w:sz w:val="22"/>
          <w:lang w:val="sv-SE"/>
        </w:rPr>
        <w:t xml:space="preserve"> och utveckling. De första åren riktades</w:t>
      </w:r>
      <w:r w:rsidR="00411E9D">
        <w:rPr>
          <w:sz w:val="22"/>
          <w:lang w:val="sv-SE"/>
        </w:rPr>
        <w:t xml:space="preserve"> informationsin</w:t>
      </w:r>
      <w:r w:rsidR="004426A2">
        <w:rPr>
          <w:sz w:val="22"/>
          <w:lang w:val="sv-SE"/>
        </w:rPr>
        <w:t>s</w:t>
      </w:r>
      <w:r w:rsidR="00411E9D">
        <w:rPr>
          <w:sz w:val="22"/>
          <w:lang w:val="sv-SE"/>
        </w:rPr>
        <w:t>a</w:t>
      </w:r>
      <w:r w:rsidR="004426A2">
        <w:rPr>
          <w:sz w:val="22"/>
          <w:lang w:val="sv-SE"/>
        </w:rPr>
        <w:t>t</w:t>
      </w:r>
      <w:r w:rsidR="00411E9D">
        <w:rPr>
          <w:sz w:val="22"/>
          <w:lang w:val="sv-SE"/>
        </w:rPr>
        <w:t>s</w:t>
      </w:r>
      <w:r w:rsidR="004426A2">
        <w:rPr>
          <w:sz w:val="22"/>
          <w:lang w:val="sv-SE"/>
        </w:rPr>
        <w:t>erna främst mot spannmålshandelns</w:t>
      </w:r>
      <w:r w:rsidR="00411E9D">
        <w:rPr>
          <w:sz w:val="22"/>
          <w:lang w:val="sv-SE"/>
        </w:rPr>
        <w:t xml:space="preserve"> aktörer</w:t>
      </w:r>
      <w:r w:rsidR="004426A2">
        <w:rPr>
          <w:sz w:val="22"/>
          <w:lang w:val="sv-SE"/>
        </w:rPr>
        <w:t>, men har nu utvecklats mot</w:t>
      </w:r>
      <w:r w:rsidR="006A30AD">
        <w:rPr>
          <w:sz w:val="22"/>
          <w:lang w:val="sv-SE"/>
        </w:rPr>
        <w:t xml:space="preserve"> att löpande </w:t>
      </w:r>
      <w:r w:rsidR="00411E9D">
        <w:rPr>
          <w:sz w:val="22"/>
          <w:lang w:val="sv-SE"/>
        </w:rPr>
        <w:t>hålla</w:t>
      </w:r>
      <w:r w:rsidR="004426A2">
        <w:rPr>
          <w:sz w:val="22"/>
          <w:lang w:val="sv-SE"/>
        </w:rPr>
        <w:t xml:space="preserve"> </w:t>
      </w:r>
      <w:r w:rsidR="0095049D">
        <w:rPr>
          <w:sz w:val="22"/>
          <w:lang w:val="sv-SE"/>
        </w:rPr>
        <w:t xml:space="preserve">alla </w:t>
      </w:r>
      <w:r w:rsidR="004426A2">
        <w:rPr>
          <w:sz w:val="22"/>
          <w:lang w:val="sv-SE"/>
        </w:rPr>
        <w:t>intressenter</w:t>
      </w:r>
      <w:r w:rsidR="00411E9D">
        <w:rPr>
          <w:sz w:val="22"/>
          <w:lang w:val="sv-SE"/>
        </w:rPr>
        <w:t xml:space="preserve"> uppdaterade</w:t>
      </w:r>
      <w:r w:rsidR="004426A2">
        <w:rPr>
          <w:sz w:val="22"/>
          <w:lang w:val="sv-SE"/>
        </w:rPr>
        <w:t xml:space="preserve"> om utvecklingen, </w:t>
      </w:r>
      <w:r w:rsidR="00411E9D">
        <w:rPr>
          <w:sz w:val="22"/>
          <w:lang w:val="sv-SE"/>
        </w:rPr>
        <w:t xml:space="preserve">t ex </w:t>
      </w:r>
      <w:r w:rsidR="004426A2">
        <w:rPr>
          <w:sz w:val="22"/>
          <w:lang w:val="sv-SE"/>
        </w:rPr>
        <w:t>myndigheter, industri, media och förstås lantbrukare.</w:t>
      </w:r>
    </w:p>
    <w:p w14:paraId="5879B7A2" w14:textId="77777777" w:rsidR="006A30AD" w:rsidRDefault="006A30AD" w:rsidP="0031312E">
      <w:pPr>
        <w:ind w:right="908"/>
        <w:rPr>
          <w:sz w:val="22"/>
          <w:lang w:val="sv-SE"/>
        </w:rPr>
      </w:pPr>
    </w:p>
    <w:p w14:paraId="5086AF3F" w14:textId="77777777" w:rsidR="00B27756" w:rsidRPr="00BD6704" w:rsidRDefault="00B07D2B" w:rsidP="0031312E">
      <w:pPr>
        <w:ind w:right="908"/>
        <w:rPr>
          <w:sz w:val="22"/>
          <w:lang w:val="sv-SE"/>
        </w:rPr>
      </w:pPr>
      <w:r w:rsidRPr="00BD6704">
        <w:rPr>
          <w:sz w:val="22"/>
          <w:lang w:val="sv-SE"/>
        </w:rPr>
        <w:t xml:space="preserve">En central del </w:t>
      </w:r>
      <w:r>
        <w:rPr>
          <w:sz w:val="22"/>
          <w:lang w:val="sv-SE"/>
        </w:rPr>
        <w:t>har</w:t>
      </w:r>
      <w:r w:rsidR="004426A2">
        <w:rPr>
          <w:sz w:val="22"/>
          <w:lang w:val="sv-SE"/>
        </w:rPr>
        <w:t xml:space="preserve"> genom åren</w:t>
      </w:r>
      <w:r>
        <w:rPr>
          <w:sz w:val="22"/>
          <w:lang w:val="sv-SE"/>
        </w:rPr>
        <w:t xml:space="preserve"> varit</w:t>
      </w:r>
      <w:r w:rsidRPr="00BD6704">
        <w:rPr>
          <w:sz w:val="22"/>
          <w:lang w:val="sv-SE"/>
        </w:rPr>
        <w:t xml:space="preserve"> en </w:t>
      </w:r>
      <w:r w:rsidR="00411E9D">
        <w:rPr>
          <w:sz w:val="22"/>
          <w:lang w:val="sv-SE"/>
        </w:rPr>
        <w:t xml:space="preserve">årligen uppdaterad </w:t>
      </w:r>
      <w:r w:rsidRPr="00BD6704">
        <w:rPr>
          <w:sz w:val="22"/>
          <w:lang w:val="sv-SE"/>
        </w:rPr>
        <w:t>B</w:t>
      </w:r>
      <w:r w:rsidR="00BA3DEB">
        <w:rPr>
          <w:sz w:val="22"/>
          <w:lang w:val="sv-SE"/>
        </w:rPr>
        <w:t>ranschrekommendation, som innebä</w:t>
      </w:r>
      <w:r w:rsidRPr="00BD6704">
        <w:rPr>
          <w:sz w:val="22"/>
          <w:lang w:val="sv-SE"/>
        </w:rPr>
        <w:t>r ett gemensamt synsätt och en gemensam hantering av vissa grundläggande frågor</w:t>
      </w:r>
      <w:r>
        <w:rPr>
          <w:sz w:val="22"/>
          <w:lang w:val="sv-SE"/>
        </w:rPr>
        <w:t>.</w:t>
      </w:r>
      <w:r w:rsidRPr="00BD6704">
        <w:rPr>
          <w:sz w:val="22"/>
          <w:lang w:val="sv-SE"/>
        </w:rPr>
        <w:t xml:space="preserve"> </w:t>
      </w:r>
    </w:p>
    <w:p w14:paraId="59FDE538" w14:textId="77777777" w:rsidR="00B27756" w:rsidRPr="00BD6704" w:rsidRDefault="00BD6704" w:rsidP="00BD6704">
      <w:pPr>
        <w:tabs>
          <w:tab w:val="left" w:pos="979"/>
        </w:tabs>
        <w:ind w:right="908"/>
        <w:rPr>
          <w:sz w:val="22"/>
          <w:lang w:val="sv-SE"/>
        </w:rPr>
      </w:pPr>
      <w:r w:rsidRPr="00BD6704">
        <w:rPr>
          <w:sz w:val="22"/>
          <w:lang w:val="sv-SE"/>
        </w:rPr>
        <w:tab/>
      </w:r>
    </w:p>
    <w:p w14:paraId="7C4F6D4E" w14:textId="77777777" w:rsidR="00B27756" w:rsidRPr="00BD6704" w:rsidRDefault="00A3669A" w:rsidP="007C215A">
      <w:pPr>
        <w:pStyle w:val="Liststycke"/>
        <w:numPr>
          <w:ilvl w:val="0"/>
          <w:numId w:val="4"/>
        </w:numPr>
        <w:ind w:right="908"/>
        <w:rPr>
          <w:b/>
          <w:sz w:val="22"/>
          <w:lang w:val="sv-SE"/>
        </w:rPr>
      </w:pPr>
      <w:r>
        <w:rPr>
          <w:b/>
          <w:sz w:val="22"/>
          <w:lang w:val="sv-SE"/>
        </w:rPr>
        <w:t>Plan för provtagningsprojektet 201</w:t>
      </w:r>
      <w:r w:rsidR="004426A2">
        <w:rPr>
          <w:b/>
          <w:sz w:val="22"/>
          <w:lang w:val="sv-SE"/>
        </w:rPr>
        <w:t>5</w:t>
      </w:r>
    </w:p>
    <w:p w14:paraId="0E2152FC" w14:textId="77777777" w:rsidR="00555C9E" w:rsidRPr="000C74D2" w:rsidRDefault="00F57200" w:rsidP="000C74D2">
      <w:pPr>
        <w:rPr>
          <w:rFonts w:ascii="Sabon" w:hAnsi="Sabon"/>
          <w:sz w:val="22"/>
          <w:szCs w:val="22"/>
          <w:lang w:val="sv-SE"/>
        </w:rPr>
      </w:pPr>
      <w:r>
        <w:rPr>
          <w:sz w:val="22"/>
          <w:lang w:val="sv-SE"/>
        </w:rPr>
        <w:t>Arbetet</w:t>
      </w:r>
      <w:r w:rsidR="00EB2481">
        <w:rPr>
          <w:sz w:val="22"/>
          <w:lang w:val="sv-SE"/>
        </w:rPr>
        <w:t xml:space="preserve"> organ</w:t>
      </w:r>
      <w:r w:rsidR="00F53E3F">
        <w:rPr>
          <w:sz w:val="22"/>
          <w:lang w:val="sv-SE"/>
        </w:rPr>
        <w:t>is</w:t>
      </w:r>
      <w:r w:rsidR="00EB2481">
        <w:rPr>
          <w:sz w:val="22"/>
          <w:lang w:val="sv-SE"/>
        </w:rPr>
        <w:t xml:space="preserve">erades </w:t>
      </w:r>
      <w:r w:rsidR="00264C14">
        <w:rPr>
          <w:sz w:val="22"/>
          <w:lang w:val="sv-SE"/>
        </w:rPr>
        <w:t>enligt samma modell</w:t>
      </w:r>
      <w:r w:rsidR="00F728C7">
        <w:rPr>
          <w:sz w:val="22"/>
          <w:lang w:val="sv-SE"/>
        </w:rPr>
        <w:t xml:space="preserve"> </w:t>
      </w:r>
      <w:r w:rsidR="00EB2481">
        <w:rPr>
          <w:sz w:val="22"/>
          <w:lang w:val="sv-SE"/>
        </w:rPr>
        <w:t>som tid</w:t>
      </w:r>
      <w:r>
        <w:rPr>
          <w:sz w:val="22"/>
          <w:lang w:val="sv-SE"/>
        </w:rPr>
        <w:t>i</w:t>
      </w:r>
      <w:r w:rsidR="00EB2481">
        <w:rPr>
          <w:sz w:val="22"/>
          <w:lang w:val="sv-SE"/>
        </w:rPr>
        <w:t>gare år</w:t>
      </w:r>
      <w:r w:rsidR="00F53E3F">
        <w:rPr>
          <w:sz w:val="22"/>
          <w:lang w:val="sv-SE"/>
        </w:rPr>
        <w:t xml:space="preserve"> med en projektgrupp</w:t>
      </w:r>
      <w:r w:rsidR="005466B0">
        <w:rPr>
          <w:sz w:val="22"/>
          <w:lang w:val="sv-SE"/>
        </w:rPr>
        <w:t xml:space="preserve"> (se bilaga 1)</w:t>
      </w:r>
      <w:r w:rsidR="00F53E3F">
        <w:rPr>
          <w:sz w:val="22"/>
          <w:lang w:val="sv-SE"/>
        </w:rPr>
        <w:t xml:space="preserve"> som lade fast </w:t>
      </w:r>
      <w:r w:rsidR="00264C14">
        <w:rPr>
          <w:sz w:val="22"/>
          <w:lang w:val="sv-SE"/>
        </w:rPr>
        <w:t xml:space="preserve">en projektplan under våren </w:t>
      </w:r>
      <w:r w:rsidR="004426A2">
        <w:rPr>
          <w:sz w:val="22"/>
          <w:lang w:val="sv-SE"/>
        </w:rPr>
        <w:t>2015</w:t>
      </w:r>
      <w:r w:rsidR="00F728C7">
        <w:rPr>
          <w:sz w:val="22"/>
          <w:lang w:val="sv-SE"/>
        </w:rPr>
        <w:t xml:space="preserve"> och utsåg en projektledare.</w:t>
      </w:r>
      <w:r w:rsidR="001B680E" w:rsidRPr="001B680E">
        <w:rPr>
          <w:rFonts w:ascii="Sabon" w:hAnsi="Sabon"/>
          <w:sz w:val="22"/>
          <w:szCs w:val="22"/>
          <w:lang w:val="sv-SE"/>
        </w:rPr>
        <w:t xml:space="preserve"> </w:t>
      </w:r>
      <w:r w:rsidR="00411E9D">
        <w:rPr>
          <w:rFonts w:ascii="Sabon" w:hAnsi="Sabon"/>
          <w:sz w:val="22"/>
          <w:szCs w:val="22"/>
          <w:lang w:val="sv-SE"/>
        </w:rPr>
        <w:t xml:space="preserve">Tidigare år har </w:t>
      </w:r>
      <w:r w:rsidR="001B680E" w:rsidRPr="001B680E">
        <w:rPr>
          <w:rFonts w:ascii="Sabon" w:hAnsi="Sabon"/>
          <w:sz w:val="22"/>
          <w:szCs w:val="22"/>
          <w:lang w:val="sv-SE"/>
        </w:rPr>
        <w:t xml:space="preserve">betydande kraft lagts på att utifrån en fastställd plan ta ut prover redan i fält.  Successivt har det dock blivit allt viktigare att systematiskt och löpande sammanställa den provtagning som utifrån </w:t>
      </w:r>
      <w:r w:rsidR="00411E9D">
        <w:rPr>
          <w:rFonts w:ascii="Sabon" w:hAnsi="Sabon"/>
          <w:sz w:val="22"/>
          <w:szCs w:val="22"/>
          <w:lang w:val="sv-SE"/>
        </w:rPr>
        <w:t>företagens</w:t>
      </w:r>
      <w:r w:rsidR="001B680E" w:rsidRPr="001B680E">
        <w:rPr>
          <w:rFonts w:ascii="Sabon" w:hAnsi="Sabon"/>
          <w:sz w:val="22"/>
          <w:szCs w:val="22"/>
          <w:lang w:val="sv-SE"/>
        </w:rPr>
        <w:t xml:space="preserve"> riskanalys rutinmässigt sker i samband med mottagning av spannmål</w:t>
      </w:r>
      <w:r w:rsidR="00411E9D">
        <w:rPr>
          <w:rFonts w:ascii="Sabon" w:hAnsi="Sabon"/>
          <w:sz w:val="22"/>
          <w:szCs w:val="22"/>
          <w:lang w:val="sv-SE"/>
        </w:rPr>
        <w:t>.</w:t>
      </w:r>
      <w:r w:rsidR="001B680E">
        <w:rPr>
          <w:rFonts w:ascii="Sabon" w:hAnsi="Sabon"/>
          <w:sz w:val="22"/>
          <w:szCs w:val="22"/>
          <w:lang w:val="sv-SE"/>
        </w:rPr>
        <w:t xml:space="preserve"> Detta år</w:t>
      </w:r>
      <w:r w:rsidR="001B680E" w:rsidRPr="001B680E">
        <w:rPr>
          <w:rFonts w:ascii="Sabon" w:hAnsi="Sabon"/>
          <w:sz w:val="22"/>
          <w:szCs w:val="22"/>
          <w:lang w:val="sv-SE"/>
        </w:rPr>
        <w:t xml:space="preserve"> planera</w:t>
      </w:r>
      <w:r w:rsidR="001B680E">
        <w:rPr>
          <w:rFonts w:ascii="Sabon" w:hAnsi="Sabon"/>
          <w:sz w:val="22"/>
          <w:szCs w:val="22"/>
          <w:lang w:val="sv-SE"/>
        </w:rPr>
        <w:t>de</w:t>
      </w:r>
      <w:r w:rsidR="001B680E" w:rsidRPr="001B680E">
        <w:rPr>
          <w:rFonts w:ascii="Sabon" w:hAnsi="Sabon"/>
          <w:sz w:val="22"/>
          <w:szCs w:val="22"/>
          <w:lang w:val="sv-SE"/>
        </w:rPr>
        <w:t>s</w:t>
      </w:r>
      <w:r w:rsidR="00411E9D">
        <w:rPr>
          <w:rFonts w:ascii="Sabon" w:hAnsi="Sabon"/>
          <w:sz w:val="22"/>
          <w:szCs w:val="22"/>
          <w:lang w:val="sv-SE"/>
        </w:rPr>
        <w:t xml:space="preserve"> därför</w:t>
      </w:r>
      <w:r w:rsidR="001B680E">
        <w:rPr>
          <w:rFonts w:ascii="Sabon" w:hAnsi="Sabon"/>
          <w:sz w:val="22"/>
          <w:szCs w:val="22"/>
          <w:lang w:val="sv-SE"/>
        </w:rPr>
        <w:t xml:space="preserve"> inte</w:t>
      </w:r>
      <w:r w:rsidR="001B680E" w:rsidRPr="001B680E">
        <w:rPr>
          <w:rFonts w:ascii="Sabon" w:hAnsi="Sabon"/>
          <w:sz w:val="22"/>
          <w:szCs w:val="22"/>
          <w:lang w:val="sv-SE"/>
        </w:rPr>
        <w:t xml:space="preserve"> för en provtagning i fält i förväg, men </w:t>
      </w:r>
      <w:r w:rsidR="00411E9D">
        <w:rPr>
          <w:rFonts w:ascii="Sabon" w:hAnsi="Sabon"/>
          <w:sz w:val="22"/>
          <w:szCs w:val="22"/>
          <w:lang w:val="sv-SE"/>
        </w:rPr>
        <w:t xml:space="preserve">det lämnades öppet för </w:t>
      </w:r>
      <w:r w:rsidR="001B680E" w:rsidRPr="001B680E">
        <w:rPr>
          <w:rFonts w:ascii="Sabon" w:hAnsi="Sabon"/>
          <w:sz w:val="22"/>
          <w:szCs w:val="22"/>
          <w:lang w:val="sv-SE"/>
        </w:rPr>
        <w:t xml:space="preserve">enskilda aktörer </w:t>
      </w:r>
      <w:r w:rsidR="00411E9D">
        <w:rPr>
          <w:rFonts w:ascii="Sabon" w:hAnsi="Sabon"/>
          <w:sz w:val="22"/>
          <w:szCs w:val="22"/>
          <w:lang w:val="sv-SE"/>
        </w:rPr>
        <w:t>att</w:t>
      </w:r>
      <w:r w:rsidR="001B680E" w:rsidRPr="001B680E">
        <w:rPr>
          <w:rFonts w:ascii="Sabon" w:hAnsi="Sabon"/>
          <w:sz w:val="22"/>
          <w:szCs w:val="22"/>
          <w:lang w:val="sv-SE"/>
        </w:rPr>
        <w:t xml:space="preserve"> själva göra en </w:t>
      </w:r>
      <w:proofErr w:type="gramStart"/>
      <w:r w:rsidR="001B680E" w:rsidRPr="001B680E">
        <w:rPr>
          <w:rFonts w:ascii="Sabon" w:hAnsi="Sabon"/>
          <w:sz w:val="22"/>
          <w:szCs w:val="22"/>
          <w:lang w:val="sv-SE"/>
        </w:rPr>
        <w:t xml:space="preserve">bedömning </w:t>
      </w:r>
      <w:r w:rsidR="000C74D2">
        <w:rPr>
          <w:rFonts w:ascii="Sabon" w:hAnsi="Sabon"/>
          <w:sz w:val="22"/>
          <w:szCs w:val="22"/>
          <w:lang w:val="sv-SE"/>
        </w:rPr>
        <w:t xml:space="preserve"> av</w:t>
      </w:r>
      <w:proofErr w:type="gramEnd"/>
      <w:r w:rsidR="001B680E" w:rsidRPr="001B680E">
        <w:rPr>
          <w:rFonts w:ascii="Sabon" w:hAnsi="Sabon"/>
          <w:sz w:val="22"/>
          <w:szCs w:val="22"/>
          <w:lang w:val="sv-SE"/>
        </w:rPr>
        <w:t xml:space="preserve"> behov</w:t>
      </w:r>
      <w:r w:rsidR="000C74D2">
        <w:rPr>
          <w:rFonts w:ascii="Sabon" w:hAnsi="Sabon"/>
          <w:sz w:val="22"/>
          <w:szCs w:val="22"/>
          <w:lang w:val="sv-SE"/>
        </w:rPr>
        <w:t>en</w:t>
      </w:r>
      <w:r w:rsidR="001B680E" w:rsidRPr="001B680E">
        <w:rPr>
          <w:rFonts w:ascii="Sabon" w:hAnsi="Sabon"/>
          <w:sz w:val="22"/>
          <w:szCs w:val="22"/>
          <w:lang w:val="sv-SE"/>
        </w:rPr>
        <w:t xml:space="preserve"> av att analysera fältprover i sina respektive områden.  Faktorer som </w:t>
      </w:r>
      <w:r w:rsidR="001B680E">
        <w:rPr>
          <w:rFonts w:ascii="Sabon" w:hAnsi="Sabon"/>
          <w:sz w:val="22"/>
          <w:szCs w:val="22"/>
          <w:lang w:val="sv-SE"/>
        </w:rPr>
        <w:t>kunde</w:t>
      </w:r>
      <w:r w:rsidR="001B680E" w:rsidRPr="001B680E">
        <w:rPr>
          <w:rFonts w:ascii="Sabon" w:hAnsi="Sabon"/>
          <w:sz w:val="22"/>
          <w:szCs w:val="22"/>
          <w:lang w:val="sv-SE"/>
        </w:rPr>
        <w:t xml:space="preserve"> vara av betydelse för en sådan riskbedömning </w:t>
      </w:r>
      <w:r w:rsidR="000C74D2">
        <w:rPr>
          <w:rFonts w:ascii="Sabon" w:hAnsi="Sabon"/>
          <w:sz w:val="22"/>
          <w:szCs w:val="22"/>
          <w:lang w:val="sv-SE"/>
        </w:rPr>
        <w:t>var</w:t>
      </w:r>
      <w:r w:rsidR="001B680E" w:rsidRPr="001B680E">
        <w:rPr>
          <w:rFonts w:ascii="Sabon" w:hAnsi="Sabon"/>
          <w:sz w:val="22"/>
          <w:szCs w:val="22"/>
          <w:lang w:val="sv-SE"/>
        </w:rPr>
        <w:t xml:space="preserve"> </w:t>
      </w:r>
      <w:proofErr w:type="spellStart"/>
      <w:r w:rsidR="001B680E" w:rsidRPr="001B680E">
        <w:rPr>
          <w:rFonts w:ascii="Sabon" w:hAnsi="Sabon"/>
          <w:sz w:val="22"/>
          <w:szCs w:val="22"/>
          <w:lang w:val="sv-SE"/>
        </w:rPr>
        <w:t>bl</w:t>
      </w:r>
      <w:proofErr w:type="spellEnd"/>
      <w:r w:rsidR="001B680E" w:rsidRPr="001B680E">
        <w:rPr>
          <w:rFonts w:ascii="Sabon" w:hAnsi="Sabon"/>
          <w:sz w:val="22"/>
          <w:szCs w:val="22"/>
          <w:lang w:val="sv-SE"/>
        </w:rPr>
        <w:t xml:space="preserve"> a väderleken under blomning i aktuellt område. Projektgruppen </w:t>
      </w:r>
      <w:r w:rsidR="001B680E">
        <w:rPr>
          <w:rFonts w:ascii="Sabon" w:hAnsi="Sabon"/>
          <w:sz w:val="22"/>
          <w:szCs w:val="22"/>
          <w:lang w:val="sv-SE"/>
        </w:rPr>
        <w:t>sammanträdde</w:t>
      </w:r>
      <w:r w:rsidR="001B680E" w:rsidRPr="001B680E">
        <w:rPr>
          <w:rFonts w:ascii="Sabon" w:hAnsi="Sabon"/>
          <w:sz w:val="22"/>
          <w:szCs w:val="22"/>
          <w:lang w:val="sv-SE"/>
        </w:rPr>
        <w:t xml:space="preserve"> därför i juni månad </w:t>
      </w:r>
      <w:r w:rsidR="001B680E">
        <w:rPr>
          <w:rFonts w:ascii="Sabon" w:hAnsi="Sabon"/>
          <w:sz w:val="22"/>
          <w:szCs w:val="22"/>
          <w:lang w:val="sv-SE"/>
        </w:rPr>
        <w:t xml:space="preserve">för </w:t>
      </w:r>
      <w:r w:rsidR="0095049D">
        <w:rPr>
          <w:rFonts w:ascii="Sabon" w:hAnsi="Sabon"/>
          <w:sz w:val="22"/>
          <w:szCs w:val="22"/>
          <w:lang w:val="sv-SE"/>
        </w:rPr>
        <w:t xml:space="preserve">att </w:t>
      </w:r>
      <w:r w:rsidR="001B680E" w:rsidRPr="001B680E">
        <w:rPr>
          <w:rFonts w:ascii="Sabon" w:hAnsi="Sabon"/>
          <w:sz w:val="22"/>
          <w:szCs w:val="22"/>
          <w:lang w:val="sv-SE"/>
        </w:rPr>
        <w:t xml:space="preserve">samråda kring en bedömning av riskerna </w:t>
      </w:r>
      <w:r w:rsidR="001B680E">
        <w:rPr>
          <w:rFonts w:ascii="Sabon" w:hAnsi="Sabon"/>
          <w:sz w:val="22"/>
          <w:szCs w:val="22"/>
          <w:lang w:val="sv-SE"/>
        </w:rPr>
        <w:t xml:space="preserve">för </w:t>
      </w:r>
      <w:proofErr w:type="spellStart"/>
      <w:r w:rsidR="001B680E">
        <w:rPr>
          <w:rFonts w:ascii="Sabon" w:hAnsi="Sabon"/>
          <w:sz w:val="22"/>
          <w:szCs w:val="22"/>
          <w:lang w:val="sv-SE"/>
        </w:rPr>
        <w:t>fusariumangrepp</w:t>
      </w:r>
      <w:proofErr w:type="spellEnd"/>
      <w:r w:rsidR="001B680E">
        <w:rPr>
          <w:rFonts w:ascii="Sabon" w:hAnsi="Sabon"/>
          <w:sz w:val="22"/>
          <w:szCs w:val="22"/>
          <w:lang w:val="sv-SE"/>
        </w:rPr>
        <w:t>.</w:t>
      </w:r>
      <w:r w:rsidR="000C74D2">
        <w:rPr>
          <w:rFonts w:ascii="Sabon" w:hAnsi="Sabon"/>
          <w:sz w:val="22"/>
          <w:szCs w:val="22"/>
          <w:lang w:val="sv-SE"/>
        </w:rPr>
        <w:t xml:space="preserve"> </w:t>
      </w:r>
    </w:p>
    <w:p w14:paraId="2F793496" w14:textId="77777777" w:rsidR="00555C9E" w:rsidRDefault="00555C9E" w:rsidP="0031312E">
      <w:pPr>
        <w:ind w:right="908"/>
        <w:rPr>
          <w:sz w:val="22"/>
          <w:lang w:val="sv-SE"/>
        </w:rPr>
      </w:pPr>
    </w:p>
    <w:p w14:paraId="57E32A52" w14:textId="77777777" w:rsidR="001B680E" w:rsidRDefault="001B680E" w:rsidP="0031312E">
      <w:pPr>
        <w:ind w:right="908"/>
        <w:rPr>
          <w:sz w:val="22"/>
          <w:lang w:val="sv-SE"/>
        </w:rPr>
      </w:pPr>
      <w:r>
        <w:rPr>
          <w:sz w:val="22"/>
          <w:lang w:val="sv-SE"/>
        </w:rPr>
        <w:t xml:space="preserve">Insamlingen av data gick till på sådant sätt att </w:t>
      </w:r>
      <w:r w:rsidR="006F2376">
        <w:rPr>
          <w:sz w:val="22"/>
          <w:lang w:val="sv-SE"/>
        </w:rPr>
        <w:t xml:space="preserve">varje företag </w:t>
      </w:r>
      <w:r>
        <w:rPr>
          <w:sz w:val="22"/>
          <w:lang w:val="sv-SE"/>
        </w:rPr>
        <w:t>sände</w:t>
      </w:r>
      <w:r w:rsidR="00BA3DEB">
        <w:rPr>
          <w:sz w:val="22"/>
          <w:lang w:val="sv-SE"/>
        </w:rPr>
        <w:t xml:space="preserve"> in data</w:t>
      </w:r>
      <w:r>
        <w:rPr>
          <w:sz w:val="22"/>
          <w:lang w:val="sv-SE"/>
        </w:rPr>
        <w:t xml:space="preserve"> veckovis med </w:t>
      </w:r>
      <w:r w:rsidR="000C74D2">
        <w:rPr>
          <w:sz w:val="22"/>
          <w:lang w:val="sv-SE"/>
        </w:rPr>
        <w:t xml:space="preserve">uppgifter om </w:t>
      </w:r>
      <w:r w:rsidR="000C74D2">
        <w:rPr>
          <w:rFonts w:ascii="Sabon" w:hAnsi="Sabon"/>
          <w:sz w:val="22"/>
          <w:szCs w:val="22"/>
          <w:lang w:val="sv-SE"/>
        </w:rPr>
        <w:t xml:space="preserve">område, </w:t>
      </w:r>
      <w:proofErr w:type="spellStart"/>
      <w:r w:rsidR="000C74D2">
        <w:rPr>
          <w:rFonts w:ascii="Sabon" w:hAnsi="Sabon"/>
          <w:sz w:val="22"/>
          <w:szCs w:val="22"/>
          <w:lang w:val="sv-SE"/>
        </w:rPr>
        <w:t>s</w:t>
      </w:r>
      <w:r w:rsidRPr="001B680E">
        <w:rPr>
          <w:rFonts w:ascii="Sabon" w:hAnsi="Sabon"/>
          <w:sz w:val="22"/>
          <w:szCs w:val="22"/>
          <w:lang w:val="sv-SE"/>
        </w:rPr>
        <w:t>pannmålsslag</w:t>
      </w:r>
      <w:proofErr w:type="spellEnd"/>
      <w:r w:rsidR="000C74D2">
        <w:rPr>
          <w:sz w:val="22"/>
          <w:lang w:val="sv-SE"/>
        </w:rPr>
        <w:t>, t</w:t>
      </w:r>
      <w:r w:rsidR="006F5B5B">
        <w:rPr>
          <w:rFonts w:ascii="Sabon" w:hAnsi="Sabon"/>
          <w:sz w:val="22"/>
          <w:szCs w:val="22"/>
          <w:lang w:val="sv-SE"/>
        </w:rPr>
        <w:t>yp av analys (DON, T</w:t>
      </w:r>
      <w:r w:rsidRPr="001B680E">
        <w:rPr>
          <w:rFonts w:ascii="Sabon" w:hAnsi="Sabon"/>
          <w:sz w:val="22"/>
          <w:szCs w:val="22"/>
          <w:lang w:val="sv-SE"/>
        </w:rPr>
        <w:t>2/HT-2, ZEA)</w:t>
      </w:r>
      <w:r w:rsidR="000C74D2">
        <w:rPr>
          <w:sz w:val="22"/>
          <w:lang w:val="sv-SE"/>
        </w:rPr>
        <w:t xml:space="preserve">, </w:t>
      </w:r>
      <w:r w:rsidR="000C74D2">
        <w:rPr>
          <w:rFonts w:ascii="Sabon" w:hAnsi="Sabon"/>
          <w:sz w:val="22"/>
          <w:szCs w:val="22"/>
          <w:lang w:val="sv-SE"/>
        </w:rPr>
        <w:t>v</w:t>
      </w:r>
      <w:r w:rsidRPr="001B680E">
        <w:rPr>
          <w:rFonts w:ascii="Sabon" w:hAnsi="Sabon"/>
          <w:sz w:val="22"/>
          <w:szCs w:val="22"/>
          <w:lang w:val="sv-SE"/>
        </w:rPr>
        <w:t>ecka då proverna togs</w:t>
      </w:r>
      <w:r w:rsidR="000C74D2">
        <w:rPr>
          <w:sz w:val="22"/>
          <w:lang w:val="sv-SE"/>
        </w:rPr>
        <w:t>, a</w:t>
      </w:r>
      <w:r w:rsidRPr="001B680E">
        <w:rPr>
          <w:rFonts w:ascii="Sabon" w:hAnsi="Sabon"/>
          <w:sz w:val="22"/>
          <w:szCs w:val="22"/>
          <w:lang w:val="sv-SE"/>
        </w:rPr>
        <w:t>ntal analyser</w:t>
      </w:r>
      <w:r w:rsidR="000C74D2">
        <w:rPr>
          <w:sz w:val="22"/>
          <w:lang w:val="sv-SE"/>
        </w:rPr>
        <w:t xml:space="preserve">, </w:t>
      </w:r>
      <w:r w:rsidR="000C74D2">
        <w:rPr>
          <w:rFonts w:ascii="Sabon" w:hAnsi="Sabon"/>
          <w:sz w:val="22"/>
          <w:szCs w:val="22"/>
          <w:lang w:val="sv-SE"/>
        </w:rPr>
        <w:t>a</w:t>
      </w:r>
      <w:r w:rsidR="006F5B5B">
        <w:rPr>
          <w:rFonts w:ascii="Sabon" w:hAnsi="Sabon"/>
          <w:sz w:val="22"/>
          <w:szCs w:val="22"/>
          <w:lang w:val="sv-SE"/>
        </w:rPr>
        <w:t>ntal resultat över</w:t>
      </w:r>
      <w:r w:rsidR="0095049D">
        <w:rPr>
          <w:rFonts w:ascii="Sabon" w:hAnsi="Sabon"/>
          <w:sz w:val="22"/>
          <w:szCs w:val="22"/>
          <w:lang w:val="sv-SE"/>
        </w:rPr>
        <w:t xml:space="preserve"> gränsvärde</w:t>
      </w:r>
      <w:r w:rsidR="006F5B5B">
        <w:rPr>
          <w:rFonts w:ascii="Sabon" w:hAnsi="Sabon"/>
          <w:sz w:val="22"/>
          <w:szCs w:val="22"/>
          <w:lang w:val="sv-SE"/>
        </w:rPr>
        <w:t xml:space="preserve">, </w:t>
      </w:r>
      <w:r w:rsidR="000C74D2">
        <w:rPr>
          <w:sz w:val="22"/>
          <w:lang w:val="sv-SE"/>
        </w:rPr>
        <w:t>m</w:t>
      </w:r>
      <w:r w:rsidRPr="001B680E">
        <w:rPr>
          <w:rFonts w:ascii="Sabon" w:hAnsi="Sabon"/>
          <w:sz w:val="22"/>
          <w:szCs w:val="22"/>
          <w:lang w:val="sv-SE"/>
        </w:rPr>
        <w:t>edelvärde</w:t>
      </w:r>
      <w:r w:rsidR="000C74D2">
        <w:rPr>
          <w:sz w:val="22"/>
          <w:lang w:val="sv-SE"/>
        </w:rPr>
        <w:t xml:space="preserve"> och t</w:t>
      </w:r>
      <w:r w:rsidRPr="001B680E">
        <w:rPr>
          <w:rFonts w:ascii="Sabon" w:hAnsi="Sabon"/>
          <w:sz w:val="22"/>
          <w:szCs w:val="22"/>
          <w:lang w:val="sv-SE"/>
        </w:rPr>
        <w:t>oppvärde</w:t>
      </w:r>
      <w:r w:rsidR="006F5B5B">
        <w:rPr>
          <w:rFonts w:ascii="Sabon" w:hAnsi="Sabon"/>
          <w:sz w:val="22"/>
          <w:szCs w:val="22"/>
          <w:lang w:val="sv-SE"/>
        </w:rPr>
        <w:t xml:space="preserve"> (se </w:t>
      </w:r>
      <w:r w:rsidR="006F5B5B">
        <w:rPr>
          <w:rFonts w:ascii="Sabon" w:hAnsi="Sabon"/>
          <w:sz w:val="22"/>
          <w:szCs w:val="22"/>
          <w:lang w:val="sv-SE"/>
        </w:rPr>
        <w:lastRenderedPageBreak/>
        <w:t>vidare bilaga 2)</w:t>
      </w:r>
      <w:r w:rsidR="000C74D2">
        <w:rPr>
          <w:sz w:val="22"/>
          <w:lang w:val="sv-SE"/>
        </w:rPr>
        <w:t>.</w:t>
      </w:r>
      <w:r w:rsidR="00D623F4">
        <w:rPr>
          <w:sz w:val="22"/>
          <w:lang w:val="sv-SE"/>
        </w:rPr>
        <w:t xml:space="preserve"> Analysresultaten från </w:t>
      </w:r>
      <w:r w:rsidR="00D623F4">
        <w:rPr>
          <w:rFonts w:ascii="Sabon" w:hAnsi="Sabon"/>
          <w:sz w:val="22"/>
          <w:szCs w:val="22"/>
          <w:lang w:val="sv-SE"/>
        </w:rPr>
        <w:t>de f</w:t>
      </w:r>
      <w:r w:rsidR="00D623F4" w:rsidRPr="001B680E">
        <w:rPr>
          <w:rFonts w:ascii="Sabon" w:hAnsi="Sabon"/>
          <w:sz w:val="22"/>
          <w:szCs w:val="22"/>
          <w:lang w:val="sv-SE"/>
        </w:rPr>
        <w:t xml:space="preserve">ältprover </w:t>
      </w:r>
      <w:r w:rsidR="00D623F4">
        <w:rPr>
          <w:rFonts w:ascii="Sabon" w:hAnsi="Sabon"/>
          <w:sz w:val="22"/>
          <w:szCs w:val="22"/>
          <w:lang w:val="sv-SE"/>
        </w:rPr>
        <w:t>som togs</w:t>
      </w:r>
      <w:r w:rsidR="00D623F4" w:rsidRPr="001B680E">
        <w:rPr>
          <w:rFonts w:ascii="Sabon" w:hAnsi="Sabon"/>
          <w:sz w:val="22"/>
          <w:szCs w:val="22"/>
          <w:lang w:val="sv-SE"/>
        </w:rPr>
        <w:t xml:space="preserve"> ut, </w:t>
      </w:r>
      <w:r w:rsidR="00D623F4">
        <w:rPr>
          <w:rFonts w:ascii="Sabon" w:hAnsi="Sabon"/>
          <w:sz w:val="22"/>
          <w:szCs w:val="22"/>
          <w:lang w:val="sv-SE"/>
        </w:rPr>
        <w:t xml:space="preserve">skickades också in till </w:t>
      </w:r>
      <w:r w:rsidR="00D623F4" w:rsidRPr="001B680E">
        <w:rPr>
          <w:rFonts w:ascii="Sabon" w:hAnsi="Sabon"/>
          <w:sz w:val="22"/>
          <w:szCs w:val="22"/>
          <w:lang w:val="sv-SE"/>
        </w:rPr>
        <w:t>projektledningen för att komplettera analyser från tidiga skördeprover.</w:t>
      </w:r>
    </w:p>
    <w:p w14:paraId="40DB5EBC" w14:textId="77777777" w:rsidR="006F2376" w:rsidRPr="00BD6704" w:rsidRDefault="006F2376" w:rsidP="0031312E">
      <w:pPr>
        <w:ind w:right="908"/>
        <w:rPr>
          <w:sz w:val="22"/>
          <w:lang w:val="sv-SE"/>
        </w:rPr>
      </w:pPr>
    </w:p>
    <w:p w14:paraId="3ACE2F0F" w14:textId="77777777" w:rsidR="006F2376" w:rsidRPr="006F2376" w:rsidRDefault="006F2376" w:rsidP="0031312E">
      <w:pPr>
        <w:ind w:right="908"/>
        <w:rPr>
          <w:b/>
          <w:i/>
          <w:sz w:val="22"/>
          <w:lang w:val="sv-SE"/>
        </w:rPr>
      </w:pPr>
      <w:r w:rsidRPr="006F2376">
        <w:rPr>
          <w:b/>
          <w:i/>
          <w:sz w:val="22"/>
          <w:lang w:val="sv-SE"/>
        </w:rPr>
        <w:t>Analysrutiner</w:t>
      </w:r>
    </w:p>
    <w:p w14:paraId="12F02759" w14:textId="77777777" w:rsidR="007C215A" w:rsidRPr="002E45DA" w:rsidRDefault="007C215A" w:rsidP="0031312E">
      <w:pPr>
        <w:ind w:right="908"/>
        <w:rPr>
          <w:sz w:val="22"/>
          <w:lang w:val="sv-SE"/>
        </w:rPr>
      </w:pPr>
      <w:r>
        <w:rPr>
          <w:sz w:val="22"/>
          <w:lang w:val="sv-SE"/>
        </w:rPr>
        <w:t xml:space="preserve">Analyser </w:t>
      </w:r>
      <w:r w:rsidR="006F5B5B">
        <w:rPr>
          <w:sz w:val="22"/>
          <w:lang w:val="sv-SE"/>
        </w:rPr>
        <w:t>har</w:t>
      </w:r>
      <w:r w:rsidR="006F2376">
        <w:rPr>
          <w:sz w:val="22"/>
          <w:lang w:val="sv-SE"/>
        </w:rPr>
        <w:t xml:space="preserve"> i första hand </w:t>
      </w:r>
      <w:r w:rsidR="006F5B5B">
        <w:rPr>
          <w:sz w:val="22"/>
          <w:lang w:val="sv-SE"/>
        </w:rPr>
        <w:t>utfört</w:t>
      </w:r>
      <w:r>
        <w:rPr>
          <w:sz w:val="22"/>
          <w:lang w:val="sv-SE"/>
        </w:rPr>
        <w:t xml:space="preserve">s med s.k. Lateral </w:t>
      </w:r>
      <w:proofErr w:type="spellStart"/>
      <w:r>
        <w:rPr>
          <w:sz w:val="22"/>
          <w:lang w:val="sv-SE"/>
        </w:rPr>
        <w:t>Flow</w:t>
      </w:r>
      <w:proofErr w:type="spellEnd"/>
      <w:r>
        <w:rPr>
          <w:sz w:val="22"/>
          <w:lang w:val="sv-SE"/>
        </w:rPr>
        <w:t xml:space="preserve"> </w:t>
      </w:r>
      <w:proofErr w:type="spellStart"/>
      <w:r>
        <w:rPr>
          <w:sz w:val="22"/>
          <w:lang w:val="sv-SE"/>
        </w:rPr>
        <w:t>Devices</w:t>
      </w:r>
      <w:proofErr w:type="spellEnd"/>
      <w:r>
        <w:rPr>
          <w:sz w:val="22"/>
          <w:lang w:val="sv-SE"/>
        </w:rPr>
        <w:t xml:space="preserve"> (”stickor”) varav två olika fabrikat användes, Rhone-</w:t>
      </w:r>
      <w:proofErr w:type="spellStart"/>
      <w:r>
        <w:rPr>
          <w:sz w:val="22"/>
          <w:lang w:val="sv-SE"/>
        </w:rPr>
        <w:t>Biopharm</w:t>
      </w:r>
      <w:proofErr w:type="spellEnd"/>
      <w:r>
        <w:rPr>
          <w:sz w:val="22"/>
          <w:lang w:val="sv-SE"/>
        </w:rPr>
        <w:t xml:space="preserve"> och </w:t>
      </w:r>
      <w:r w:rsidR="00FF65DE">
        <w:rPr>
          <w:sz w:val="22"/>
          <w:lang w:val="sv-SE"/>
        </w:rPr>
        <w:t xml:space="preserve">CHARM eller </w:t>
      </w:r>
      <w:r w:rsidR="006F2376">
        <w:rPr>
          <w:sz w:val="22"/>
          <w:lang w:val="sv-SE"/>
        </w:rPr>
        <w:t>med ELISA (Rhone-</w:t>
      </w:r>
      <w:proofErr w:type="spellStart"/>
      <w:r w:rsidR="006F2376">
        <w:rPr>
          <w:sz w:val="22"/>
          <w:lang w:val="sv-SE"/>
        </w:rPr>
        <w:t>Biopharm</w:t>
      </w:r>
      <w:proofErr w:type="spellEnd"/>
      <w:r w:rsidR="006F2376">
        <w:rPr>
          <w:sz w:val="22"/>
          <w:lang w:val="sv-SE"/>
        </w:rPr>
        <w:t>)</w:t>
      </w:r>
      <w:r w:rsidR="005040FB">
        <w:rPr>
          <w:sz w:val="22"/>
          <w:lang w:val="sv-SE"/>
        </w:rPr>
        <w:t xml:space="preserve">. Deltagarna uppmanades att om möjligt använda en lägre detektionsgräns än 500 </w:t>
      </w:r>
      <w:proofErr w:type="spellStart"/>
      <w:r w:rsidR="005040FB">
        <w:rPr>
          <w:sz w:val="22"/>
          <w:lang w:val="sv-SE"/>
        </w:rPr>
        <w:t>ppb</w:t>
      </w:r>
      <w:proofErr w:type="spellEnd"/>
      <w:r w:rsidR="005040FB">
        <w:rPr>
          <w:sz w:val="22"/>
          <w:lang w:val="sv-SE"/>
        </w:rPr>
        <w:t>.</w:t>
      </w:r>
      <w:r w:rsidR="006F2376">
        <w:rPr>
          <w:sz w:val="22"/>
          <w:lang w:val="sv-SE"/>
        </w:rPr>
        <w:t xml:space="preserve"> </w:t>
      </w:r>
      <w:r w:rsidR="00FF65DE">
        <w:rPr>
          <w:sz w:val="22"/>
          <w:lang w:val="sv-SE"/>
        </w:rPr>
        <w:t xml:space="preserve"> </w:t>
      </w:r>
    </w:p>
    <w:p w14:paraId="22222D18" w14:textId="77777777" w:rsidR="0031312E" w:rsidRPr="00BD6704" w:rsidRDefault="0031312E" w:rsidP="0031312E">
      <w:pPr>
        <w:ind w:right="908"/>
        <w:rPr>
          <w:sz w:val="22"/>
          <w:lang w:val="sv-SE"/>
        </w:rPr>
      </w:pPr>
    </w:p>
    <w:p w14:paraId="1428A832" w14:textId="77777777" w:rsidR="00C023D5" w:rsidRPr="00BD6704" w:rsidRDefault="00C023D5" w:rsidP="007C215A">
      <w:pPr>
        <w:pStyle w:val="Liststycke"/>
        <w:numPr>
          <w:ilvl w:val="0"/>
          <w:numId w:val="4"/>
        </w:numPr>
        <w:ind w:right="908"/>
        <w:rPr>
          <w:b/>
          <w:sz w:val="22"/>
          <w:lang w:val="sv-SE"/>
        </w:rPr>
      </w:pPr>
      <w:r w:rsidRPr="00BD6704">
        <w:rPr>
          <w:b/>
          <w:sz w:val="22"/>
          <w:lang w:val="sv-SE"/>
        </w:rPr>
        <w:t>Arbetets gång</w:t>
      </w:r>
      <w:r w:rsidR="007F63C9" w:rsidRPr="00BD6704">
        <w:rPr>
          <w:b/>
          <w:sz w:val="22"/>
          <w:lang w:val="sv-SE"/>
        </w:rPr>
        <w:t xml:space="preserve"> och lägesrapporter</w:t>
      </w:r>
    </w:p>
    <w:p w14:paraId="76C93BA9" w14:textId="77777777" w:rsidR="007F63C9" w:rsidRDefault="007F63C9" w:rsidP="0031312E">
      <w:pPr>
        <w:ind w:right="908"/>
        <w:rPr>
          <w:sz w:val="22"/>
          <w:lang w:val="sv-SE"/>
        </w:rPr>
      </w:pPr>
      <w:r w:rsidRPr="00BD6704">
        <w:rPr>
          <w:sz w:val="22"/>
          <w:lang w:val="sv-SE"/>
        </w:rPr>
        <w:t xml:space="preserve">En första </w:t>
      </w:r>
      <w:r w:rsidR="00942AD8">
        <w:rPr>
          <w:sz w:val="22"/>
          <w:lang w:val="sv-SE"/>
        </w:rPr>
        <w:t>läges</w:t>
      </w:r>
      <w:r w:rsidRPr="00BD6704">
        <w:rPr>
          <w:sz w:val="22"/>
          <w:lang w:val="sv-SE"/>
        </w:rPr>
        <w:t xml:space="preserve">avstämning inom projektgruppen genomfördes den </w:t>
      </w:r>
      <w:r w:rsidR="001B680E">
        <w:rPr>
          <w:sz w:val="22"/>
          <w:lang w:val="sv-SE"/>
        </w:rPr>
        <w:t>23</w:t>
      </w:r>
      <w:r w:rsidRPr="00BD6704">
        <w:rPr>
          <w:sz w:val="22"/>
          <w:lang w:val="sv-SE"/>
        </w:rPr>
        <w:t xml:space="preserve"> juli och gruppen har därefter haft ytterligare </w:t>
      </w:r>
      <w:r w:rsidR="001B680E">
        <w:rPr>
          <w:sz w:val="22"/>
          <w:lang w:val="sv-SE"/>
        </w:rPr>
        <w:t>10 protokollförda mö</w:t>
      </w:r>
      <w:r w:rsidR="00687D17">
        <w:rPr>
          <w:sz w:val="22"/>
          <w:lang w:val="sv-SE"/>
        </w:rPr>
        <w:t xml:space="preserve">ten. </w:t>
      </w:r>
      <w:r w:rsidRPr="00BD6704">
        <w:rPr>
          <w:sz w:val="22"/>
          <w:lang w:val="sv-SE"/>
        </w:rPr>
        <w:t xml:space="preserve">Den första lägesrapporten </w:t>
      </w:r>
      <w:r w:rsidR="00AA280C">
        <w:rPr>
          <w:sz w:val="22"/>
          <w:lang w:val="sv-SE"/>
        </w:rPr>
        <w:t>sändes ut 140811</w:t>
      </w:r>
      <w:r w:rsidRPr="00BD6704">
        <w:rPr>
          <w:sz w:val="22"/>
          <w:lang w:val="sv-SE"/>
        </w:rPr>
        <w:t xml:space="preserve"> och sammanlagt lämnades </w:t>
      </w:r>
      <w:r w:rsidR="00411E9D">
        <w:rPr>
          <w:sz w:val="22"/>
          <w:lang w:val="sv-SE"/>
        </w:rPr>
        <w:t>8</w:t>
      </w:r>
      <w:r w:rsidRPr="00BD6704">
        <w:rPr>
          <w:sz w:val="22"/>
          <w:lang w:val="sv-SE"/>
        </w:rPr>
        <w:t xml:space="preserve"> stycken rapporter.</w:t>
      </w:r>
      <w:r w:rsidR="00283452">
        <w:rPr>
          <w:sz w:val="22"/>
          <w:lang w:val="sv-SE"/>
        </w:rPr>
        <w:t xml:space="preserve"> Dessa spr</w:t>
      </w:r>
      <w:r w:rsidR="006F5B5B">
        <w:rPr>
          <w:sz w:val="22"/>
          <w:lang w:val="sv-SE"/>
        </w:rPr>
        <w:t>eds både internt inom spannm</w:t>
      </w:r>
      <w:r w:rsidR="00A42F6C">
        <w:rPr>
          <w:sz w:val="22"/>
          <w:lang w:val="sv-SE"/>
        </w:rPr>
        <w:t>ålshandeln</w:t>
      </w:r>
      <w:r w:rsidR="00283452">
        <w:rPr>
          <w:sz w:val="22"/>
          <w:lang w:val="sv-SE"/>
        </w:rPr>
        <w:t xml:space="preserve">, men </w:t>
      </w:r>
      <w:r w:rsidR="00C83E26">
        <w:rPr>
          <w:sz w:val="22"/>
          <w:lang w:val="sv-SE"/>
        </w:rPr>
        <w:t xml:space="preserve">även externt till bl.a. LRF, </w:t>
      </w:r>
      <w:r w:rsidR="00283452">
        <w:rPr>
          <w:sz w:val="22"/>
          <w:lang w:val="sv-SE"/>
        </w:rPr>
        <w:t>Jordbruksverket</w:t>
      </w:r>
      <w:r w:rsidR="00AA280C">
        <w:rPr>
          <w:sz w:val="22"/>
          <w:lang w:val="sv-SE"/>
        </w:rPr>
        <w:t>, Livsmedelsverket, kvarnindustrin</w:t>
      </w:r>
      <w:r w:rsidR="00C83E26">
        <w:rPr>
          <w:sz w:val="22"/>
          <w:lang w:val="sv-SE"/>
        </w:rPr>
        <w:t xml:space="preserve"> och media</w:t>
      </w:r>
      <w:r w:rsidR="00283452">
        <w:rPr>
          <w:sz w:val="22"/>
          <w:lang w:val="sv-SE"/>
        </w:rPr>
        <w:t xml:space="preserve">. </w:t>
      </w:r>
    </w:p>
    <w:p w14:paraId="2102B6C3" w14:textId="77777777" w:rsidR="00C81D8B" w:rsidRPr="00BD6704" w:rsidRDefault="00C81D8B" w:rsidP="0031312E">
      <w:pPr>
        <w:ind w:right="908"/>
        <w:rPr>
          <w:sz w:val="22"/>
          <w:lang w:val="sv-SE"/>
        </w:rPr>
      </w:pPr>
    </w:p>
    <w:p w14:paraId="002A0DC4" w14:textId="77777777" w:rsidR="007F63C9" w:rsidRPr="00BD6704" w:rsidRDefault="007F63C9" w:rsidP="007C215A">
      <w:pPr>
        <w:pStyle w:val="Liststycke"/>
        <w:numPr>
          <w:ilvl w:val="0"/>
          <w:numId w:val="4"/>
        </w:numPr>
        <w:ind w:right="908"/>
        <w:rPr>
          <w:b/>
          <w:sz w:val="22"/>
          <w:lang w:val="sv-SE"/>
        </w:rPr>
      </w:pPr>
      <w:r w:rsidRPr="00BD6704">
        <w:rPr>
          <w:b/>
          <w:sz w:val="22"/>
          <w:lang w:val="sv-SE"/>
        </w:rPr>
        <w:t>Branschrekommendation</w:t>
      </w:r>
    </w:p>
    <w:p w14:paraId="685ED126" w14:textId="77777777" w:rsidR="005757BE" w:rsidRDefault="00687D17" w:rsidP="00A145C1">
      <w:pPr>
        <w:ind w:right="908"/>
        <w:rPr>
          <w:sz w:val="22"/>
          <w:lang w:val="sv-SE"/>
        </w:rPr>
      </w:pPr>
      <w:r>
        <w:rPr>
          <w:sz w:val="22"/>
          <w:lang w:val="sv-SE"/>
        </w:rPr>
        <w:t xml:space="preserve">I ett tidigt skede </w:t>
      </w:r>
      <w:r w:rsidR="007F63C9" w:rsidRPr="00BD6704">
        <w:rPr>
          <w:sz w:val="22"/>
          <w:lang w:val="sv-SE"/>
        </w:rPr>
        <w:t xml:space="preserve">beslöt gruppen att ta fram en </w:t>
      </w:r>
      <w:r w:rsidR="00064D68" w:rsidRPr="00BD6704">
        <w:rPr>
          <w:sz w:val="22"/>
          <w:lang w:val="sv-SE"/>
        </w:rPr>
        <w:t xml:space="preserve">uppdaterad </w:t>
      </w:r>
      <w:r w:rsidR="007F63C9" w:rsidRPr="00BD6704">
        <w:rPr>
          <w:sz w:val="22"/>
          <w:lang w:val="sv-SE"/>
        </w:rPr>
        <w:t>Branschrekommendation för spannmålshandelns hant</w:t>
      </w:r>
      <w:r w:rsidR="00C81D8B">
        <w:rPr>
          <w:sz w:val="22"/>
          <w:lang w:val="sv-SE"/>
        </w:rPr>
        <w:t xml:space="preserve">ering av </w:t>
      </w:r>
      <w:proofErr w:type="spellStart"/>
      <w:r w:rsidR="00264C14">
        <w:rPr>
          <w:sz w:val="22"/>
          <w:lang w:val="sv-SE"/>
        </w:rPr>
        <w:t>mykotoxinförekomst</w:t>
      </w:r>
      <w:proofErr w:type="spellEnd"/>
      <w:r w:rsidR="00264C14">
        <w:rPr>
          <w:sz w:val="22"/>
          <w:lang w:val="sv-SE"/>
        </w:rPr>
        <w:t xml:space="preserve"> </w:t>
      </w:r>
      <w:r w:rsidR="00C81D8B">
        <w:rPr>
          <w:sz w:val="22"/>
          <w:lang w:val="sv-SE"/>
        </w:rPr>
        <w:t xml:space="preserve">(bilaga </w:t>
      </w:r>
      <w:r w:rsidR="006F5B5B">
        <w:rPr>
          <w:sz w:val="22"/>
          <w:lang w:val="sv-SE"/>
        </w:rPr>
        <w:t>3</w:t>
      </w:r>
      <w:r w:rsidR="007F63C9" w:rsidRPr="00BD6704">
        <w:rPr>
          <w:sz w:val="22"/>
          <w:lang w:val="sv-SE"/>
        </w:rPr>
        <w:t>)</w:t>
      </w:r>
      <w:r w:rsidR="005F1262" w:rsidRPr="00BD6704">
        <w:rPr>
          <w:sz w:val="22"/>
          <w:lang w:val="sv-SE"/>
        </w:rPr>
        <w:t xml:space="preserve">. Projektgruppens </w:t>
      </w:r>
      <w:r w:rsidR="00B8620D">
        <w:rPr>
          <w:sz w:val="22"/>
          <w:lang w:val="sv-SE"/>
        </w:rPr>
        <w:t>uppfattning</w:t>
      </w:r>
      <w:r w:rsidR="00B8620D" w:rsidRPr="00BD6704">
        <w:rPr>
          <w:sz w:val="22"/>
          <w:lang w:val="sv-SE"/>
        </w:rPr>
        <w:t xml:space="preserve"> </w:t>
      </w:r>
      <w:r w:rsidR="005F1262" w:rsidRPr="00BD6704">
        <w:rPr>
          <w:sz w:val="22"/>
          <w:lang w:val="sv-SE"/>
        </w:rPr>
        <w:t xml:space="preserve">är </w:t>
      </w:r>
      <w:r w:rsidR="00283452">
        <w:rPr>
          <w:sz w:val="22"/>
          <w:lang w:val="sv-SE"/>
        </w:rPr>
        <w:t xml:space="preserve">att </w:t>
      </w:r>
      <w:r w:rsidR="005F1262" w:rsidRPr="00BD6704">
        <w:rPr>
          <w:sz w:val="22"/>
          <w:lang w:val="sv-SE"/>
        </w:rPr>
        <w:t>denna rekommendation</w:t>
      </w:r>
      <w:r w:rsidR="00AA280C">
        <w:rPr>
          <w:sz w:val="22"/>
          <w:lang w:val="sv-SE"/>
        </w:rPr>
        <w:t xml:space="preserve">, som nu funnits </w:t>
      </w:r>
      <w:r w:rsidR="00A42F6C">
        <w:rPr>
          <w:sz w:val="22"/>
          <w:lang w:val="sv-SE"/>
        </w:rPr>
        <w:t>i</w:t>
      </w:r>
      <w:r w:rsidR="00AA280C">
        <w:rPr>
          <w:sz w:val="22"/>
          <w:lang w:val="sv-SE"/>
        </w:rPr>
        <w:t xml:space="preserve"> 5 </w:t>
      </w:r>
      <w:r w:rsidR="00B8620D">
        <w:rPr>
          <w:sz w:val="22"/>
          <w:lang w:val="sv-SE"/>
        </w:rPr>
        <w:t>år, utgör</w:t>
      </w:r>
      <w:r w:rsidR="005F1262" w:rsidRPr="00BD6704">
        <w:rPr>
          <w:sz w:val="22"/>
          <w:lang w:val="sv-SE"/>
        </w:rPr>
        <w:t xml:space="preserve"> en god och gemensam grund för hanteringen av spannmål på den svenska marknaden.</w:t>
      </w:r>
    </w:p>
    <w:p w14:paraId="188A7A72" w14:textId="77777777" w:rsidR="00C74CCE" w:rsidRDefault="00C74CCE" w:rsidP="00A145C1">
      <w:pPr>
        <w:ind w:right="908"/>
        <w:rPr>
          <w:sz w:val="22"/>
          <w:lang w:val="sv-SE"/>
        </w:rPr>
      </w:pPr>
    </w:p>
    <w:p w14:paraId="13882EE6" w14:textId="77777777" w:rsidR="004E168A" w:rsidRDefault="00190D9E" w:rsidP="004E168A">
      <w:pPr>
        <w:pStyle w:val="Liststycke"/>
        <w:numPr>
          <w:ilvl w:val="0"/>
          <w:numId w:val="4"/>
        </w:numPr>
        <w:ind w:right="908"/>
        <w:rPr>
          <w:b/>
          <w:sz w:val="22"/>
          <w:lang w:val="sv-SE"/>
        </w:rPr>
      </w:pPr>
      <w:r>
        <w:rPr>
          <w:b/>
          <w:sz w:val="22"/>
          <w:lang w:val="sv-SE"/>
        </w:rPr>
        <w:t>Resultat för mottagnings</w:t>
      </w:r>
      <w:r w:rsidR="00411E9D">
        <w:rPr>
          <w:b/>
          <w:sz w:val="22"/>
          <w:lang w:val="sv-SE"/>
        </w:rPr>
        <w:t>prover under skörd</w:t>
      </w:r>
      <w:r w:rsidR="004E168A" w:rsidRPr="003249DA">
        <w:rPr>
          <w:b/>
          <w:sz w:val="22"/>
          <w:lang w:val="sv-SE"/>
        </w:rPr>
        <w:t xml:space="preserve"> 201</w:t>
      </w:r>
      <w:r w:rsidR="00AA280C">
        <w:rPr>
          <w:b/>
          <w:sz w:val="22"/>
          <w:lang w:val="sv-SE"/>
        </w:rPr>
        <w:t>5</w:t>
      </w:r>
    </w:p>
    <w:p w14:paraId="6A7BEBF8" w14:textId="77777777" w:rsidR="00C74CCE" w:rsidRPr="00553BFF" w:rsidRDefault="0095049D" w:rsidP="00C74CCE">
      <w:pPr>
        <w:ind w:right="908"/>
        <w:rPr>
          <w:sz w:val="22"/>
          <w:szCs w:val="22"/>
          <w:lang w:val="sv-SE"/>
        </w:rPr>
      </w:pPr>
      <w:r>
        <w:rPr>
          <w:sz w:val="22"/>
          <w:lang w:val="sv-SE"/>
        </w:rPr>
        <w:t xml:space="preserve">I kontrast till 2014, då </w:t>
      </w:r>
      <w:r w:rsidR="0045041D">
        <w:rPr>
          <w:sz w:val="22"/>
          <w:lang w:val="sv-SE"/>
        </w:rPr>
        <w:t xml:space="preserve">de första skördeproverna </w:t>
      </w:r>
      <w:r>
        <w:rPr>
          <w:sz w:val="22"/>
          <w:lang w:val="sv-SE"/>
        </w:rPr>
        <w:t xml:space="preserve">rapporterades </w:t>
      </w:r>
      <w:r w:rsidR="0045041D">
        <w:rPr>
          <w:sz w:val="22"/>
          <w:lang w:val="sv-SE"/>
        </w:rPr>
        <w:t xml:space="preserve">redan i slutet av juli, </w:t>
      </w:r>
      <w:r w:rsidR="006F5B5B">
        <w:rPr>
          <w:sz w:val="22"/>
          <w:lang w:val="sv-SE"/>
        </w:rPr>
        <w:t>dröjde det ända till en</w:t>
      </w:r>
      <w:r w:rsidR="00A42F6C">
        <w:rPr>
          <w:sz w:val="22"/>
          <w:lang w:val="sv-SE"/>
        </w:rPr>
        <w:t xml:space="preserve"> bra </w:t>
      </w:r>
      <w:r w:rsidR="0045041D">
        <w:rPr>
          <w:sz w:val="22"/>
          <w:lang w:val="sv-SE"/>
        </w:rPr>
        <w:t>bit in i augusti innan skörden</w:t>
      </w:r>
      <w:r w:rsidR="006F5B5B">
        <w:rPr>
          <w:sz w:val="22"/>
          <w:lang w:val="sv-SE"/>
        </w:rPr>
        <w:t>, och därmed analysrapporterna,</w:t>
      </w:r>
      <w:r w:rsidR="0045041D">
        <w:rPr>
          <w:sz w:val="22"/>
          <w:lang w:val="sv-SE"/>
        </w:rPr>
        <w:t xml:space="preserve"> kom igång på a</w:t>
      </w:r>
      <w:r w:rsidR="00A42F6C">
        <w:rPr>
          <w:sz w:val="22"/>
          <w:lang w:val="sv-SE"/>
        </w:rPr>
        <w:t>llvar. En blöt och ganska kall vår och s</w:t>
      </w:r>
      <w:r w:rsidR="0045041D">
        <w:rPr>
          <w:sz w:val="22"/>
          <w:lang w:val="sv-SE"/>
        </w:rPr>
        <w:t xml:space="preserve">ommar gjorde också att skörden blev </w:t>
      </w:r>
      <w:r w:rsidR="0045041D" w:rsidRPr="00553BFF">
        <w:rPr>
          <w:sz w:val="22"/>
          <w:szCs w:val="22"/>
          <w:lang w:val="sv-SE"/>
        </w:rPr>
        <w:t>mycket utdragen</w:t>
      </w:r>
      <w:r w:rsidR="00A42F6C">
        <w:rPr>
          <w:sz w:val="22"/>
          <w:szCs w:val="22"/>
          <w:lang w:val="sv-SE"/>
        </w:rPr>
        <w:t xml:space="preserve">. </w:t>
      </w:r>
      <w:r w:rsidR="000C74D2">
        <w:rPr>
          <w:sz w:val="22"/>
          <w:szCs w:val="22"/>
          <w:lang w:val="sv-SE"/>
        </w:rPr>
        <w:t xml:space="preserve">För att följa utvecklingen höll </w:t>
      </w:r>
      <w:r w:rsidR="000C74D2" w:rsidRPr="00553BFF">
        <w:rPr>
          <w:sz w:val="22"/>
          <w:szCs w:val="22"/>
          <w:lang w:val="sv-SE"/>
        </w:rPr>
        <w:t>projektgruppen</w:t>
      </w:r>
      <w:r w:rsidR="000C74D2">
        <w:rPr>
          <w:sz w:val="22"/>
          <w:szCs w:val="22"/>
          <w:lang w:val="sv-SE"/>
        </w:rPr>
        <w:t>s</w:t>
      </w:r>
      <w:r w:rsidR="000C74D2" w:rsidRPr="00553BFF">
        <w:rPr>
          <w:sz w:val="22"/>
          <w:szCs w:val="22"/>
          <w:lang w:val="sv-SE"/>
        </w:rPr>
        <w:t xml:space="preserve"> </w:t>
      </w:r>
      <w:r w:rsidR="000C74D2">
        <w:rPr>
          <w:sz w:val="22"/>
          <w:szCs w:val="22"/>
          <w:lang w:val="sv-SE"/>
        </w:rPr>
        <w:t>veckomöten på ända</w:t>
      </w:r>
      <w:r w:rsidR="006F5B5B">
        <w:rPr>
          <w:sz w:val="22"/>
          <w:szCs w:val="22"/>
          <w:lang w:val="sv-SE"/>
        </w:rPr>
        <w:t xml:space="preserve"> fram till 151014 </w:t>
      </w:r>
      <w:r w:rsidR="0045041D" w:rsidRPr="00553BFF">
        <w:rPr>
          <w:sz w:val="22"/>
          <w:szCs w:val="22"/>
          <w:lang w:val="sv-SE"/>
        </w:rPr>
        <w:t>och då fanns fortfarande oskördade arealer norr om Mälaren.</w:t>
      </w:r>
      <w:r w:rsidR="00020DF8">
        <w:rPr>
          <w:sz w:val="22"/>
          <w:szCs w:val="22"/>
          <w:lang w:val="sv-SE"/>
        </w:rPr>
        <w:t xml:space="preserve"> Beroende på utvecklingen bestämdes vecka för vecka om några särskilda justeringar eller utökningar av analyser skulle göras.</w:t>
      </w:r>
    </w:p>
    <w:p w14:paraId="2F186EB3" w14:textId="77777777" w:rsidR="00F728C7" w:rsidRPr="00553BFF" w:rsidRDefault="00F728C7" w:rsidP="00C74CCE">
      <w:pPr>
        <w:ind w:right="908"/>
        <w:rPr>
          <w:sz w:val="22"/>
          <w:szCs w:val="22"/>
          <w:lang w:val="sv-SE"/>
        </w:rPr>
      </w:pPr>
    </w:p>
    <w:p w14:paraId="575B8831" w14:textId="58648818" w:rsidR="00553BFF" w:rsidRDefault="0095049D" w:rsidP="00C53AD4">
      <w:pPr>
        <w:ind w:right="908"/>
        <w:rPr>
          <w:sz w:val="22"/>
          <w:szCs w:val="22"/>
          <w:lang w:val="sv-SE"/>
        </w:rPr>
      </w:pPr>
      <w:r>
        <w:rPr>
          <w:sz w:val="22"/>
          <w:szCs w:val="22"/>
          <w:lang w:val="sv-SE"/>
        </w:rPr>
        <w:t>Ca 98</w:t>
      </w:r>
      <w:r w:rsidR="00553BFF" w:rsidRPr="00553BFF">
        <w:rPr>
          <w:sz w:val="22"/>
          <w:szCs w:val="22"/>
          <w:lang w:val="sv-SE"/>
        </w:rPr>
        <w:t>00</w:t>
      </w:r>
      <w:r w:rsidR="00553BFF">
        <w:rPr>
          <w:sz w:val="22"/>
          <w:szCs w:val="22"/>
          <w:lang w:val="sv-SE"/>
        </w:rPr>
        <w:t xml:space="preserve"> DON-</w:t>
      </w:r>
      <w:r w:rsidR="00553BFF" w:rsidRPr="00553BFF">
        <w:rPr>
          <w:sz w:val="22"/>
          <w:szCs w:val="22"/>
          <w:lang w:val="sv-SE"/>
        </w:rPr>
        <w:t xml:space="preserve"> prover från mottagningarna inrapporterades till projektledningen. De</w:t>
      </w:r>
      <w:r w:rsidR="00553BFF">
        <w:rPr>
          <w:sz w:val="22"/>
          <w:szCs w:val="22"/>
          <w:lang w:val="sv-SE"/>
        </w:rPr>
        <w:t>ssa fördelades region</w:t>
      </w:r>
      <w:r w:rsidR="00553BFF" w:rsidRPr="00553BFF">
        <w:rPr>
          <w:sz w:val="22"/>
          <w:szCs w:val="22"/>
          <w:lang w:val="sv-SE"/>
        </w:rPr>
        <w:t>vis enligt följan</w:t>
      </w:r>
      <w:r>
        <w:rPr>
          <w:sz w:val="22"/>
          <w:szCs w:val="22"/>
          <w:lang w:val="sv-SE"/>
        </w:rPr>
        <w:t>de: Syd 648, Öst 1547, Väst 6167</w:t>
      </w:r>
      <w:r w:rsidR="00553BFF" w:rsidRPr="00553BFF">
        <w:rPr>
          <w:sz w:val="22"/>
          <w:szCs w:val="22"/>
          <w:lang w:val="sv-SE"/>
        </w:rPr>
        <w:t>, Norr 1429. Utöver detta rapporterades ett drygt 50-tal fältprover</w:t>
      </w:r>
      <w:r w:rsidR="00553BFF">
        <w:rPr>
          <w:sz w:val="22"/>
          <w:szCs w:val="22"/>
          <w:lang w:val="sv-SE"/>
        </w:rPr>
        <w:t xml:space="preserve">. </w:t>
      </w:r>
      <w:r w:rsidR="00C53AD4" w:rsidRPr="00553BFF">
        <w:rPr>
          <w:sz w:val="22"/>
          <w:szCs w:val="22"/>
          <w:lang w:val="sv-SE"/>
        </w:rPr>
        <w:t xml:space="preserve"> </w:t>
      </w:r>
      <w:r w:rsidR="00751364" w:rsidRPr="00553BFF">
        <w:rPr>
          <w:sz w:val="22"/>
          <w:szCs w:val="22"/>
          <w:lang w:val="sv-SE"/>
        </w:rPr>
        <w:t>Analyssvar</w:t>
      </w:r>
      <w:r w:rsidR="008C12ED" w:rsidRPr="00553BFF">
        <w:rPr>
          <w:sz w:val="22"/>
          <w:szCs w:val="22"/>
          <w:lang w:val="sv-SE"/>
        </w:rPr>
        <w:t>en</w:t>
      </w:r>
      <w:r w:rsidR="00751364" w:rsidRPr="00553BFF">
        <w:rPr>
          <w:sz w:val="22"/>
          <w:szCs w:val="22"/>
          <w:lang w:val="sv-SE"/>
        </w:rPr>
        <w:t xml:space="preserve"> gällde huvu</w:t>
      </w:r>
      <w:r w:rsidR="004B1324" w:rsidRPr="00553BFF">
        <w:rPr>
          <w:sz w:val="22"/>
          <w:szCs w:val="22"/>
          <w:lang w:val="sv-SE"/>
        </w:rPr>
        <w:t>dsa</w:t>
      </w:r>
      <w:r w:rsidR="00751364" w:rsidRPr="00553BFF">
        <w:rPr>
          <w:sz w:val="22"/>
          <w:szCs w:val="22"/>
          <w:lang w:val="sv-SE"/>
        </w:rPr>
        <w:t>kligen</w:t>
      </w:r>
      <w:r w:rsidR="004B1324" w:rsidRPr="00553BFF">
        <w:rPr>
          <w:sz w:val="22"/>
          <w:szCs w:val="22"/>
          <w:lang w:val="sv-SE"/>
        </w:rPr>
        <w:t xml:space="preserve"> havre,</w:t>
      </w:r>
      <w:r w:rsidR="00553BFF">
        <w:rPr>
          <w:sz w:val="22"/>
          <w:szCs w:val="22"/>
          <w:lang w:val="sv-SE"/>
        </w:rPr>
        <w:t xml:space="preserve"> men </w:t>
      </w:r>
      <w:r w:rsidR="006D6C49">
        <w:rPr>
          <w:sz w:val="22"/>
          <w:szCs w:val="22"/>
          <w:lang w:val="sv-SE"/>
        </w:rPr>
        <w:t>ca</w:t>
      </w:r>
      <w:r w:rsidR="00553BFF">
        <w:rPr>
          <w:sz w:val="22"/>
          <w:szCs w:val="22"/>
          <w:lang w:val="sv-SE"/>
        </w:rPr>
        <w:t xml:space="preserve"> 100 </w:t>
      </w:r>
      <w:r w:rsidR="008C12ED" w:rsidRPr="00553BFF">
        <w:rPr>
          <w:sz w:val="22"/>
          <w:szCs w:val="22"/>
          <w:lang w:val="sv-SE"/>
        </w:rPr>
        <w:t>DON-</w:t>
      </w:r>
      <w:r w:rsidR="00751364" w:rsidRPr="00553BFF">
        <w:rPr>
          <w:sz w:val="22"/>
          <w:szCs w:val="22"/>
          <w:lang w:val="sv-SE"/>
        </w:rPr>
        <w:t xml:space="preserve"> ana</w:t>
      </w:r>
      <w:r w:rsidR="00263A0D" w:rsidRPr="00553BFF">
        <w:rPr>
          <w:sz w:val="22"/>
          <w:szCs w:val="22"/>
          <w:lang w:val="sv-SE"/>
        </w:rPr>
        <w:t xml:space="preserve">lyser </w:t>
      </w:r>
      <w:r w:rsidR="00553BFF">
        <w:rPr>
          <w:sz w:val="22"/>
          <w:szCs w:val="22"/>
          <w:lang w:val="sv-SE"/>
        </w:rPr>
        <w:t>gjordes även på</w:t>
      </w:r>
      <w:r w:rsidR="00751364" w:rsidRPr="00553BFF">
        <w:rPr>
          <w:sz w:val="22"/>
          <w:szCs w:val="22"/>
          <w:lang w:val="sv-SE"/>
        </w:rPr>
        <w:t xml:space="preserve"> korn</w:t>
      </w:r>
      <w:r w:rsidR="00553BFF">
        <w:rPr>
          <w:sz w:val="22"/>
          <w:szCs w:val="22"/>
          <w:lang w:val="sv-SE"/>
        </w:rPr>
        <w:t xml:space="preserve"> (företrädesvis maltkorn)</w:t>
      </w:r>
      <w:r w:rsidR="00751364" w:rsidRPr="00553BFF">
        <w:rPr>
          <w:sz w:val="22"/>
          <w:szCs w:val="22"/>
          <w:lang w:val="sv-SE"/>
        </w:rPr>
        <w:t xml:space="preserve"> och</w:t>
      </w:r>
      <w:r w:rsidR="00553BFF">
        <w:rPr>
          <w:sz w:val="22"/>
          <w:szCs w:val="22"/>
          <w:lang w:val="sv-SE"/>
        </w:rPr>
        <w:t xml:space="preserve"> </w:t>
      </w:r>
      <w:r w:rsidR="006D6C49">
        <w:rPr>
          <w:sz w:val="22"/>
          <w:szCs w:val="22"/>
          <w:lang w:val="sv-SE"/>
        </w:rPr>
        <w:t>ca</w:t>
      </w:r>
      <w:r w:rsidR="00751364" w:rsidRPr="00553BFF">
        <w:rPr>
          <w:sz w:val="22"/>
          <w:szCs w:val="22"/>
          <w:lang w:val="sv-SE"/>
        </w:rPr>
        <w:t xml:space="preserve"> </w:t>
      </w:r>
      <w:r w:rsidR="00553BFF">
        <w:rPr>
          <w:sz w:val="22"/>
          <w:szCs w:val="22"/>
          <w:lang w:val="sv-SE"/>
        </w:rPr>
        <w:t xml:space="preserve">300 på </w:t>
      </w:r>
      <w:r w:rsidR="00751364" w:rsidRPr="00553BFF">
        <w:rPr>
          <w:sz w:val="22"/>
          <w:szCs w:val="22"/>
          <w:lang w:val="sv-SE"/>
        </w:rPr>
        <w:t>vete</w:t>
      </w:r>
      <w:r w:rsidR="006F5B5B">
        <w:rPr>
          <w:sz w:val="22"/>
          <w:szCs w:val="22"/>
          <w:lang w:val="sv-SE"/>
        </w:rPr>
        <w:t xml:space="preserve"> (både </w:t>
      </w:r>
      <w:proofErr w:type="spellStart"/>
      <w:r w:rsidR="006F5B5B">
        <w:rPr>
          <w:sz w:val="22"/>
          <w:szCs w:val="22"/>
          <w:lang w:val="sv-SE"/>
        </w:rPr>
        <w:t>vv</w:t>
      </w:r>
      <w:proofErr w:type="spellEnd"/>
      <w:r w:rsidR="006F5B5B">
        <w:rPr>
          <w:sz w:val="22"/>
          <w:szCs w:val="22"/>
          <w:lang w:val="sv-SE"/>
        </w:rPr>
        <w:t xml:space="preserve"> och </w:t>
      </w:r>
      <w:proofErr w:type="spellStart"/>
      <w:r w:rsidR="006F5B5B">
        <w:rPr>
          <w:sz w:val="22"/>
          <w:szCs w:val="22"/>
          <w:lang w:val="sv-SE"/>
        </w:rPr>
        <w:t>hv</w:t>
      </w:r>
      <w:proofErr w:type="spellEnd"/>
      <w:r w:rsidR="006F5B5B">
        <w:rPr>
          <w:sz w:val="22"/>
          <w:szCs w:val="22"/>
          <w:lang w:val="sv-SE"/>
        </w:rPr>
        <w:t>)</w:t>
      </w:r>
      <w:r w:rsidR="00553BFF">
        <w:rPr>
          <w:sz w:val="22"/>
          <w:szCs w:val="22"/>
          <w:lang w:val="sv-SE"/>
        </w:rPr>
        <w:t>. Sammanlagt</w:t>
      </w:r>
      <w:r w:rsidR="00E2323D">
        <w:rPr>
          <w:sz w:val="22"/>
          <w:szCs w:val="22"/>
          <w:lang w:val="sv-SE"/>
        </w:rPr>
        <w:t xml:space="preserve"> inrapporterades </w:t>
      </w:r>
      <w:r w:rsidR="00553BFF">
        <w:rPr>
          <w:sz w:val="22"/>
          <w:szCs w:val="22"/>
          <w:lang w:val="sv-SE"/>
        </w:rPr>
        <w:t xml:space="preserve">ett 80-tal analyser </w:t>
      </w:r>
      <w:r w:rsidR="000C74D2">
        <w:rPr>
          <w:sz w:val="22"/>
          <w:szCs w:val="22"/>
          <w:lang w:val="sv-SE"/>
        </w:rPr>
        <w:t>av</w:t>
      </w:r>
      <w:r w:rsidR="00553BFF">
        <w:rPr>
          <w:sz w:val="22"/>
          <w:szCs w:val="22"/>
          <w:lang w:val="sv-SE"/>
        </w:rPr>
        <w:t xml:space="preserve"> T2/HT-2 och ZEA. </w:t>
      </w:r>
    </w:p>
    <w:p w14:paraId="6D849E5C" w14:textId="77777777" w:rsidR="00553BFF" w:rsidRDefault="00553BFF" w:rsidP="00C53AD4">
      <w:pPr>
        <w:ind w:right="908"/>
        <w:rPr>
          <w:sz w:val="22"/>
          <w:szCs w:val="22"/>
          <w:lang w:val="sv-SE"/>
        </w:rPr>
      </w:pPr>
    </w:p>
    <w:p w14:paraId="13BC121B" w14:textId="6063790B" w:rsidR="004B1324" w:rsidRDefault="00553BFF" w:rsidP="00C53AD4">
      <w:pPr>
        <w:ind w:right="908"/>
        <w:rPr>
          <w:sz w:val="22"/>
          <w:szCs w:val="22"/>
          <w:lang w:val="sv-SE"/>
        </w:rPr>
      </w:pPr>
      <w:r>
        <w:rPr>
          <w:sz w:val="22"/>
          <w:szCs w:val="22"/>
          <w:lang w:val="sv-SE"/>
        </w:rPr>
        <w:t xml:space="preserve">Överlag kunde konstateras att DON-halterna var mycket låga jämfört med tidigare års mätningar. </w:t>
      </w:r>
      <w:r w:rsidR="000C74D2">
        <w:rPr>
          <w:sz w:val="22"/>
          <w:szCs w:val="22"/>
          <w:lang w:val="sv-SE"/>
        </w:rPr>
        <w:t xml:space="preserve">Efter en regnperiod i månadsskiftet augusti/september </w:t>
      </w:r>
      <w:r>
        <w:rPr>
          <w:sz w:val="22"/>
          <w:szCs w:val="22"/>
          <w:lang w:val="sv-SE"/>
        </w:rPr>
        <w:t>steg värdena något, men planade sedan ut och de</w:t>
      </w:r>
      <w:r w:rsidR="00A42F6C">
        <w:rPr>
          <w:sz w:val="22"/>
          <w:szCs w:val="22"/>
          <w:lang w:val="sv-SE"/>
        </w:rPr>
        <w:t>n</w:t>
      </w:r>
      <w:r w:rsidR="000C74D2">
        <w:rPr>
          <w:sz w:val="22"/>
          <w:szCs w:val="22"/>
          <w:lang w:val="sv-SE"/>
        </w:rPr>
        <w:t xml:space="preserve"> </w:t>
      </w:r>
      <w:r w:rsidR="0095049D">
        <w:rPr>
          <w:sz w:val="22"/>
          <w:szCs w:val="22"/>
          <w:lang w:val="sv-SE"/>
        </w:rPr>
        <w:t xml:space="preserve">påtagligt </w:t>
      </w:r>
      <w:r w:rsidR="000C74D2">
        <w:rPr>
          <w:sz w:val="22"/>
          <w:szCs w:val="22"/>
          <w:lang w:val="sv-SE"/>
        </w:rPr>
        <w:t>stigande tendens som observerats</w:t>
      </w:r>
      <w:r>
        <w:rPr>
          <w:sz w:val="22"/>
          <w:szCs w:val="22"/>
          <w:lang w:val="sv-SE"/>
        </w:rPr>
        <w:t xml:space="preserve"> under slutet av skördeperioden </w:t>
      </w:r>
      <w:r w:rsidR="000C74D2">
        <w:rPr>
          <w:sz w:val="22"/>
          <w:szCs w:val="22"/>
          <w:lang w:val="sv-SE"/>
        </w:rPr>
        <w:t>tidigare år</w:t>
      </w:r>
      <w:r>
        <w:rPr>
          <w:sz w:val="22"/>
          <w:szCs w:val="22"/>
          <w:lang w:val="sv-SE"/>
        </w:rPr>
        <w:t>, lyste med sin frånvaro. Ingen analys i Skåne låg över gränsvärdet</w:t>
      </w:r>
      <w:r w:rsidR="00BC62CC">
        <w:rPr>
          <w:sz w:val="22"/>
          <w:szCs w:val="22"/>
          <w:lang w:val="sv-SE"/>
        </w:rPr>
        <w:t xml:space="preserve"> (1750 </w:t>
      </w:r>
      <w:proofErr w:type="spellStart"/>
      <w:r w:rsidR="00BC62CC">
        <w:rPr>
          <w:sz w:val="22"/>
          <w:szCs w:val="22"/>
          <w:lang w:val="sv-SE"/>
        </w:rPr>
        <w:t>ppb</w:t>
      </w:r>
      <w:proofErr w:type="spellEnd"/>
      <w:r w:rsidR="00BC62CC">
        <w:rPr>
          <w:sz w:val="22"/>
          <w:szCs w:val="22"/>
          <w:lang w:val="sv-SE"/>
        </w:rPr>
        <w:t>)</w:t>
      </w:r>
      <w:r>
        <w:rPr>
          <w:sz w:val="22"/>
          <w:szCs w:val="22"/>
          <w:lang w:val="sv-SE"/>
        </w:rPr>
        <w:t xml:space="preserve"> för livsmedel</w:t>
      </w:r>
      <w:r w:rsidR="00BC62CC">
        <w:rPr>
          <w:sz w:val="22"/>
          <w:szCs w:val="22"/>
          <w:lang w:val="sv-SE"/>
        </w:rPr>
        <w:t xml:space="preserve">. I öst och norr fanns några få enstaka leveranser som låg över </w:t>
      </w:r>
      <w:r w:rsidR="000C74D2">
        <w:rPr>
          <w:sz w:val="22"/>
          <w:szCs w:val="22"/>
          <w:lang w:val="sv-SE"/>
        </w:rPr>
        <w:t>detsamma</w:t>
      </w:r>
      <w:r w:rsidR="00BC62CC">
        <w:rPr>
          <w:sz w:val="22"/>
          <w:szCs w:val="22"/>
          <w:lang w:val="sv-SE"/>
        </w:rPr>
        <w:t xml:space="preserve">. </w:t>
      </w:r>
      <w:r>
        <w:rPr>
          <w:sz w:val="22"/>
          <w:szCs w:val="22"/>
          <w:lang w:val="sv-SE"/>
        </w:rPr>
        <w:t xml:space="preserve"> </w:t>
      </w:r>
      <w:r w:rsidR="00BC62CC">
        <w:rPr>
          <w:sz w:val="22"/>
          <w:szCs w:val="22"/>
          <w:lang w:val="sv-SE"/>
        </w:rPr>
        <w:t xml:space="preserve"> </w:t>
      </w:r>
      <w:r w:rsidR="00751364" w:rsidRPr="00553BFF">
        <w:rPr>
          <w:sz w:val="22"/>
          <w:szCs w:val="22"/>
          <w:lang w:val="sv-SE"/>
        </w:rPr>
        <w:t>I Västsverige kunde man</w:t>
      </w:r>
      <w:r w:rsidR="004B1324" w:rsidRPr="00553BFF">
        <w:rPr>
          <w:sz w:val="22"/>
          <w:szCs w:val="22"/>
          <w:lang w:val="sv-SE"/>
        </w:rPr>
        <w:t xml:space="preserve"> konstatera att värdena</w:t>
      </w:r>
      <w:r w:rsidR="00BC62CC">
        <w:rPr>
          <w:sz w:val="22"/>
          <w:szCs w:val="22"/>
          <w:lang w:val="sv-SE"/>
        </w:rPr>
        <w:t xml:space="preserve"> visserligen steg</w:t>
      </w:r>
      <w:r w:rsidR="004B1324" w:rsidRPr="00553BFF">
        <w:rPr>
          <w:sz w:val="22"/>
          <w:szCs w:val="22"/>
          <w:lang w:val="sv-SE"/>
        </w:rPr>
        <w:t xml:space="preserve"> </w:t>
      </w:r>
      <w:r w:rsidR="0095049D">
        <w:rPr>
          <w:sz w:val="22"/>
          <w:szCs w:val="22"/>
          <w:lang w:val="sv-SE"/>
        </w:rPr>
        <w:t xml:space="preserve">något </w:t>
      </w:r>
      <w:r w:rsidR="005466B0" w:rsidRPr="00553BFF">
        <w:rPr>
          <w:sz w:val="22"/>
          <w:szCs w:val="22"/>
          <w:lang w:val="sv-SE"/>
        </w:rPr>
        <w:t>successivt under skördeperioden,</w:t>
      </w:r>
      <w:r w:rsidR="00F728C7" w:rsidRPr="00553BFF">
        <w:rPr>
          <w:sz w:val="22"/>
          <w:szCs w:val="22"/>
          <w:lang w:val="sv-SE"/>
        </w:rPr>
        <w:t xml:space="preserve"> </w:t>
      </w:r>
      <w:r w:rsidR="00BC62CC">
        <w:rPr>
          <w:sz w:val="22"/>
          <w:szCs w:val="22"/>
          <w:lang w:val="sv-SE"/>
        </w:rPr>
        <w:t>men det skedde från en låg nivå och sammantaget var det bara mellan 1 och 2</w:t>
      </w:r>
      <w:r w:rsidR="00432EDE">
        <w:rPr>
          <w:sz w:val="22"/>
          <w:szCs w:val="22"/>
          <w:lang w:val="sv-SE"/>
        </w:rPr>
        <w:t xml:space="preserve"> </w:t>
      </w:r>
      <w:r w:rsidR="00BC62CC">
        <w:rPr>
          <w:sz w:val="22"/>
          <w:szCs w:val="22"/>
          <w:lang w:val="sv-SE"/>
        </w:rPr>
        <w:t xml:space="preserve">% av proverna som låg över gränsvärdet. Detta kan jämföras med 2014, </w:t>
      </w:r>
      <w:r w:rsidR="000C74D2">
        <w:rPr>
          <w:sz w:val="22"/>
          <w:szCs w:val="22"/>
          <w:lang w:val="sv-SE"/>
        </w:rPr>
        <w:t xml:space="preserve">som betraktades som ett mycket bra år i DON-hänseende, </w:t>
      </w:r>
      <w:r w:rsidR="00BC62CC">
        <w:rPr>
          <w:sz w:val="22"/>
          <w:szCs w:val="22"/>
          <w:lang w:val="sv-SE"/>
        </w:rPr>
        <w:t xml:space="preserve">då motsvarande siffra låg runt </w:t>
      </w:r>
      <w:proofErr w:type="gramStart"/>
      <w:r w:rsidR="00BC62CC">
        <w:rPr>
          <w:sz w:val="22"/>
          <w:szCs w:val="22"/>
          <w:lang w:val="sv-SE"/>
        </w:rPr>
        <w:t>10%</w:t>
      </w:r>
      <w:proofErr w:type="gramEnd"/>
      <w:r w:rsidR="00BC62CC">
        <w:rPr>
          <w:sz w:val="22"/>
          <w:szCs w:val="22"/>
          <w:lang w:val="sv-SE"/>
        </w:rPr>
        <w:t xml:space="preserve">.  De prover som låg över gränsvärdet kunde </w:t>
      </w:r>
      <w:r w:rsidR="00020DF8">
        <w:rPr>
          <w:sz w:val="22"/>
          <w:szCs w:val="22"/>
          <w:lang w:val="sv-SE"/>
        </w:rPr>
        <w:t xml:space="preserve">i första hand </w:t>
      </w:r>
      <w:r w:rsidR="00BC62CC">
        <w:rPr>
          <w:sz w:val="22"/>
          <w:szCs w:val="22"/>
          <w:lang w:val="sv-SE"/>
        </w:rPr>
        <w:t xml:space="preserve">lokaliseras till några </w:t>
      </w:r>
      <w:r w:rsidR="000C74D2">
        <w:rPr>
          <w:sz w:val="22"/>
          <w:szCs w:val="22"/>
          <w:lang w:val="sv-SE"/>
        </w:rPr>
        <w:t xml:space="preserve">ganska </w:t>
      </w:r>
      <w:r w:rsidR="00BC62CC">
        <w:rPr>
          <w:sz w:val="22"/>
          <w:szCs w:val="22"/>
          <w:lang w:val="sv-SE"/>
        </w:rPr>
        <w:t>avgränsade områden i Värmland, Dalsland och Västergötland</w:t>
      </w:r>
      <w:r w:rsidR="0095049D">
        <w:rPr>
          <w:sz w:val="22"/>
          <w:szCs w:val="22"/>
          <w:lang w:val="sv-SE"/>
        </w:rPr>
        <w:t xml:space="preserve">. </w:t>
      </w:r>
      <w:r w:rsidR="00F96963">
        <w:rPr>
          <w:sz w:val="22"/>
          <w:szCs w:val="22"/>
          <w:lang w:val="sv-SE"/>
        </w:rPr>
        <w:t>Enstaka analyser i Mälardalen låg också över gränsvärdet.</w:t>
      </w:r>
    </w:p>
    <w:p w14:paraId="310F51D4" w14:textId="77777777" w:rsidR="00020DF8" w:rsidRDefault="00020DF8" w:rsidP="00C53AD4">
      <w:pPr>
        <w:ind w:right="908"/>
        <w:rPr>
          <w:sz w:val="22"/>
          <w:szCs w:val="22"/>
          <w:lang w:val="sv-SE"/>
        </w:rPr>
      </w:pPr>
    </w:p>
    <w:p w14:paraId="33C2F873" w14:textId="77777777" w:rsidR="00020DF8" w:rsidRDefault="00F96963" w:rsidP="00C53AD4">
      <w:pPr>
        <w:ind w:right="908"/>
        <w:rPr>
          <w:sz w:val="22"/>
          <w:szCs w:val="22"/>
          <w:lang w:val="sv-SE"/>
        </w:rPr>
      </w:pPr>
      <w:r>
        <w:rPr>
          <w:sz w:val="22"/>
          <w:szCs w:val="22"/>
          <w:lang w:val="sv-SE"/>
        </w:rPr>
        <w:t xml:space="preserve">Ifråga om T2/HT-2 </w:t>
      </w:r>
      <w:r w:rsidR="00020DF8">
        <w:rPr>
          <w:sz w:val="22"/>
          <w:szCs w:val="22"/>
          <w:lang w:val="sv-SE"/>
        </w:rPr>
        <w:t>respektive ZEA noterades ett värde för T2/HT-2 över det av EU reko</w:t>
      </w:r>
      <w:r w:rsidR="006F5B5B">
        <w:rPr>
          <w:sz w:val="22"/>
          <w:szCs w:val="22"/>
          <w:lang w:val="sv-SE"/>
        </w:rPr>
        <w:t>mmenderade riktvärdet</w:t>
      </w:r>
      <w:r w:rsidR="00020DF8">
        <w:rPr>
          <w:sz w:val="22"/>
          <w:szCs w:val="22"/>
          <w:lang w:val="sv-SE"/>
        </w:rPr>
        <w:t>. Det</w:t>
      </w:r>
      <w:r w:rsidR="000C74D2">
        <w:rPr>
          <w:sz w:val="22"/>
          <w:szCs w:val="22"/>
          <w:lang w:val="sv-SE"/>
        </w:rPr>
        <w:t>ta föranledd</w:t>
      </w:r>
      <w:r w:rsidR="00A42F6C">
        <w:rPr>
          <w:sz w:val="22"/>
          <w:szCs w:val="22"/>
          <w:lang w:val="sv-SE"/>
        </w:rPr>
        <w:t>e</w:t>
      </w:r>
      <w:r w:rsidR="00020DF8">
        <w:rPr>
          <w:sz w:val="22"/>
          <w:szCs w:val="22"/>
          <w:lang w:val="sv-SE"/>
        </w:rPr>
        <w:t xml:space="preserve"> att antalet analyser utökades, och i flera fall kunde förekomst konstateras, </w:t>
      </w:r>
      <w:r w:rsidR="006F5B5B">
        <w:rPr>
          <w:sz w:val="22"/>
          <w:szCs w:val="22"/>
          <w:lang w:val="sv-SE"/>
        </w:rPr>
        <w:t>dock</w:t>
      </w:r>
      <w:r w:rsidR="00020DF8">
        <w:rPr>
          <w:sz w:val="22"/>
          <w:szCs w:val="22"/>
          <w:lang w:val="sv-SE"/>
        </w:rPr>
        <w:t xml:space="preserve"> inte </w:t>
      </w:r>
      <w:r w:rsidR="006F5B5B">
        <w:rPr>
          <w:sz w:val="22"/>
          <w:szCs w:val="22"/>
          <w:lang w:val="sv-SE"/>
        </w:rPr>
        <w:t>något ytterligare</w:t>
      </w:r>
      <w:r>
        <w:rPr>
          <w:sz w:val="22"/>
          <w:szCs w:val="22"/>
          <w:lang w:val="sv-SE"/>
        </w:rPr>
        <w:t xml:space="preserve"> fall</w:t>
      </w:r>
      <w:r w:rsidR="006F5B5B">
        <w:rPr>
          <w:sz w:val="22"/>
          <w:szCs w:val="22"/>
          <w:lang w:val="sv-SE"/>
        </w:rPr>
        <w:t xml:space="preserve"> </w:t>
      </w:r>
      <w:r w:rsidR="00020DF8">
        <w:rPr>
          <w:sz w:val="22"/>
          <w:szCs w:val="22"/>
          <w:lang w:val="sv-SE"/>
        </w:rPr>
        <w:t>över nämnda riktvärde.</w:t>
      </w:r>
    </w:p>
    <w:p w14:paraId="59C223B9" w14:textId="77777777" w:rsidR="000C74D2" w:rsidRDefault="000C74D2" w:rsidP="00C53AD4">
      <w:pPr>
        <w:ind w:right="908"/>
        <w:rPr>
          <w:sz w:val="22"/>
          <w:szCs w:val="22"/>
          <w:lang w:val="sv-SE"/>
        </w:rPr>
      </w:pPr>
    </w:p>
    <w:p w14:paraId="07E16925" w14:textId="77777777" w:rsidR="00411E9D" w:rsidRPr="00411E9D" w:rsidRDefault="00411E9D" w:rsidP="00C53AD4">
      <w:pPr>
        <w:ind w:right="908"/>
        <w:rPr>
          <w:b/>
          <w:i/>
          <w:sz w:val="22"/>
          <w:szCs w:val="22"/>
          <w:lang w:val="sv-SE"/>
        </w:rPr>
      </w:pPr>
      <w:r w:rsidRPr="00411E9D">
        <w:rPr>
          <w:b/>
          <w:i/>
          <w:sz w:val="22"/>
          <w:szCs w:val="22"/>
          <w:lang w:val="sv-SE"/>
        </w:rPr>
        <w:t>Eftersäsongen</w:t>
      </w:r>
    </w:p>
    <w:p w14:paraId="6D8B6A5C" w14:textId="77777777" w:rsidR="00411E9D" w:rsidRPr="00411E9D" w:rsidRDefault="00411E9D" w:rsidP="00411E9D">
      <w:pPr>
        <w:ind w:right="908"/>
        <w:rPr>
          <w:sz w:val="22"/>
          <w:szCs w:val="22"/>
          <w:lang w:val="sv-SE"/>
        </w:rPr>
      </w:pPr>
      <w:r w:rsidRPr="00411E9D">
        <w:rPr>
          <w:sz w:val="22"/>
          <w:szCs w:val="22"/>
          <w:lang w:val="sv-SE"/>
        </w:rPr>
        <w:t xml:space="preserve">Det faktum att Sverige bärgat den största skörden på många år, över 6 Milj ton, gör att kapaciteten i hantering och lagring av skörden är ansträngd. Detta medför att riskerna för lagringsrelaterade hygienproblem framöver ökar. En god temperaturövervakning och </w:t>
      </w:r>
      <w:r w:rsidRPr="00411E9D">
        <w:rPr>
          <w:sz w:val="22"/>
          <w:szCs w:val="22"/>
          <w:lang w:val="sv-SE"/>
        </w:rPr>
        <w:lastRenderedPageBreak/>
        <w:t xml:space="preserve">noggrann provtagning i samband med eftersäsongsleveranser kommer därför vara ännu viktigare än vanligt.   </w:t>
      </w:r>
    </w:p>
    <w:p w14:paraId="187C34EC" w14:textId="77777777" w:rsidR="00BC62CC" w:rsidRPr="00C53AD4" w:rsidRDefault="00BC62CC" w:rsidP="00082D9A">
      <w:pPr>
        <w:ind w:right="908"/>
        <w:rPr>
          <w:sz w:val="22"/>
          <w:lang w:val="sv-SE"/>
        </w:rPr>
      </w:pPr>
    </w:p>
    <w:p w14:paraId="700711FB" w14:textId="77777777" w:rsidR="000114CC" w:rsidRPr="00BD6704" w:rsidRDefault="000114CC" w:rsidP="0031312E">
      <w:pPr>
        <w:ind w:right="908"/>
        <w:rPr>
          <w:sz w:val="22"/>
          <w:lang w:val="sv-SE"/>
        </w:rPr>
      </w:pPr>
    </w:p>
    <w:p w14:paraId="5A49B8A0" w14:textId="77777777" w:rsidR="0031312E" w:rsidRDefault="00F96963" w:rsidP="0031312E">
      <w:pPr>
        <w:ind w:right="908"/>
        <w:rPr>
          <w:b/>
          <w:i/>
          <w:sz w:val="22"/>
          <w:lang w:val="sv-SE"/>
        </w:rPr>
      </w:pPr>
      <w:r>
        <w:rPr>
          <w:b/>
          <w:i/>
          <w:sz w:val="22"/>
          <w:lang w:val="sv-SE"/>
        </w:rPr>
        <w:t>Diskussion, s</w:t>
      </w:r>
      <w:r w:rsidR="00751364">
        <w:rPr>
          <w:b/>
          <w:i/>
          <w:sz w:val="22"/>
          <w:lang w:val="sv-SE"/>
        </w:rPr>
        <w:t>lu</w:t>
      </w:r>
      <w:r w:rsidR="00D44883">
        <w:rPr>
          <w:b/>
          <w:i/>
          <w:sz w:val="22"/>
          <w:lang w:val="sv-SE"/>
        </w:rPr>
        <w:t>t</w:t>
      </w:r>
      <w:r w:rsidR="00751364">
        <w:rPr>
          <w:b/>
          <w:i/>
          <w:sz w:val="22"/>
          <w:lang w:val="sv-SE"/>
        </w:rPr>
        <w:t>satser</w:t>
      </w:r>
      <w:r>
        <w:rPr>
          <w:b/>
          <w:i/>
          <w:sz w:val="22"/>
          <w:lang w:val="sv-SE"/>
        </w:rPr>
        <w:t xml:space="preserve"> och iakttagelser</w:t>
      </w:r>
    </w:p>
    <w:p w14:paraId="593CC870" w14:textId="4A0A74D1" w:rsidR="00F81601" w:rsidRDefault="006F5B5B" w:rsidP="00F81601">
      <w:pPr>
        <w:numPr>
          <w:ilvl w:val="0"/>
          <w:numId w:val="1"/>
        </w:numPr>
        <w:ind w:right="908"/>
        <w:rPr>
          <w:sz w:val="22"/>
          <w:lang w:val="sv-SE"/>
        </w:rPr>
      </w:pPr>
      <w:r>
        <w:rPr>
          <w:sz w:val="22"/>
          <w:lang w:val="sv-SE"/>
        </w:rPr>
        <w:t>En</w:t>
      </w:r>
      <w:r w:rsidR="00BC62CC">
        <w:rPr>
          <w:sz w:val="22"/>
          <w:lang w:val="sv-SE"/>
        </w:rPr>
        <w:t xml:space="preserve"> blöt sommar gjorde att det fanns farhågor om </w:t>
      </w:r>
      <w:r w:rsidR="00020DF8">
        <w:rPr>
          <w:sz w:val="22"/>
          <w:lang w:val="sv-SE"/>
        </w:rPr>
        <w:t>höga DON</w:t>
      </w:r>
      <w:r w:rsidR="0027172A">
        <w:rPr>
          <w:sz w:val="22"/>
          <w:lang w:val="sv-SE"/>
        </w:rPr>
        <w:t xml:space="preserve">-halter, men så blev inte fallet. </w:t>
      </w:r>
      <w:r w:rsidR="00772A6A">
        <w:rPr>
          <w:sz w:val="22"/>
          <w:lang w:val="sv-SE"/>
        </w:rPr>
        <w:t xml:space="preserve"> En anledning till detta kan vara att hösten, undantaget en kortare period i </w:t>
      </w:r>
      <w:r w:rsidR="000C74D2">
        <w:rPr>
          <w:sz w:val="22"/>
          <w:lang w:val="sv-SE"/>
        </w:rPr>
        <w:t>månadsskiftet aug/</w:t>
      </w:r>
      <w:proofErr w:type="spellStart"/>
      <w:r w:rsidR="000C74D2">
        <w:rPr>
          <w:sz w:val="22"/>
          <w:lang w:val="sv-SE"/>
        </w:rPr>
        <w:t>sept</w:t>
      </w:r>
      <w:proofErr w:type="spellEnd"/>
      <w:r w:rsidR="00772A6A">
        <w:rPr>
          <w:sz w:val="22"/>
          <w:lang w:val="sv-SE"/>
        </w:rPr>
        <w:t>, sedan blev mycket torr.</w:t>
      </w:r>
      <w:r w:rsidR="004D4CBC">
        <w:rPr>
          <w:sz w:val="22"/>
          <w:lang w:val="sv-SE"/>
        </w:rPr>
        <w:t xml:space="preserve"> Värt att notera är att den vädermodell som arbetats fram med resultat från tidigare år</w:t>
      </w:r>
      <w:r w:rsidR="0027172A">
        <w:rPr>
          <w:sz w:val="22"/>
          <w:lang w:val="sv-SE"/>
        </w:rPr>
        <w:t>s</w:t>
      </w:r>
      <w:r w:rsidR="004D4CBC">
        <w:rPr>
          <w:sz w:val="22"/>
          <w:lang w:val="sv-SE"/>
        </w:rPr>
        <w:t xml:space="preserve"> provtagningar, inte visade på någon stor DON-risk.</w:t>
      </w:r>
    </w:p>
    <w:p w14:paraId="0BE24343" w14:textId="77777777" w:rsidR="003E012A" w:rsidRDefault="003E012A" w:rsidP="00F81601">
      <w:pPr>
        <w:numPr>
          <w:ilvl w:val="0"/>
          <w:numId w:val="1"/>
        </w:numPr>
        <w:ind w:right="908"/>
        <w:rPr>
          <w:sz w:val="22"/>
          <w:lang w:val="sv-SE"/>
        </w:rPr>
      </w:pPr>
      <w:r>
        <w:rPr>
          <w:sz w:val="22"/>
          <w:lang w:val="sv-SE"/>
        </w:rPr>
        <w:t>Antalet prover som anal</w:t>
      </w:r>
      <w:r w:rsidR="000C74D2">
        <w:rPr>
          <w:sz w:val="22"/>
          <w:lang w:val="sv-SE"/>
        </w:rPr>
        <w:t>yser</w:t>
      </w:r>
      <w:r>
        <w:rPr>
          <w:sz w:val="22"/>
          <w:lang w:val="sv-SE"/>
        </w:rPr>
        <w:t>a</w:t>
      </w:r>
      <w:r w:rsidR="000C74D2">
        <w:rPr>
          <w:sz w:val="22"/>
          <w:lang w:val="sv-SE"/>
        </w:rPr>
        <w:t>t</w:t>
      </w:r>
      <w:r>
        <w:rPr>
          <w:sz w:val="22"/>
          <w:lang w:val="sv-SE"/>
        </w:rPr>
        <w:t xml:space="preserve">s var rekordstort, vilket gav projektgruppen ett mycket </w:t>
      </w:r>
      <w:r w:rsidR="000C74D2">
        <w:rPr>
          <w:sz w:val="22"/>
          <w:lang w:val="sv-SE"/>
        </w:rPr>
        <w:t>gott</w:t>
      </w:r>
      <w:r>
        <w:rPr>
          <w:sz w:val="22"/>
          <w:lang w:val="sv-SE"/>
        </w:rPr>
        <w:t xml:space="preserve"> u</w:t>
      </w:r>
      <w:r w:rsidR="006F5B5B">
        <w:rPr>
          <w:sz w:val="22"/>
          <w:lang w:val="sv-SE"/>
        </w:rPr>
        <w:t xml:space="preserve">nderlag för sina lägesrapporter. </w:t>
      </w:r>
      <w:r>
        <w:rPr>
          <w:sz w:val="22"/>
          <w:lang w:val="sv-SE"/>
        </w:rPr>
        <w:t xml:space="preserve">Ett </w:t>
      </w:r>
      <w:r w:rsidR="000C74D2">
        <w:rPr>
          <w:sz w:val="22"/>
          <w:lang w:val="sv-SE"/>
        </w:rPr>
        <w:t>omfattande</w:t>
      </w:r>
      <w:r>
        <w:rPr>
          <w:sz w:val="22"/>
          <w:lang w:val="sv-SE"/>
        </w:rPr>
        <w:t xml:space="preserve"> </w:t>
      </w:r>
      <w:r w:rsidR="0095049D">
        <w:rPr>
          <w:sz w:val="22"/>
          <w:lang w:val="sv-SE"/>
        </w:rPr>
        <w:t xml:space="preserve">material </w:t>
      </w:r>
      <w:r w:rsidR="006F5B5B">
        <w:rPr>
          <w:sz w:val="22"/>
          <w:lang w:val="sv-SE"/>
        </w:rPr>
        <w:t>är mycket viktigt för att få en god bild av läget, särskilt</w:t>
      </w:r>
      <w:r>
        <w:rPr>
          <w:sz w:val="22"/>
          <w:lang w:val="sv-SE"/>
        </w:rPr>
        <w:t xml:space="preserve"> när förekomsten är lågfrekvent.</w:t>
      </w:r>
    </w:p>
    <w:p w14:paraId="023B1B43" w14:textId="77777777" w:rsidR="00F81601" w:rsidRDefault="00F81601" w:rsidP="00F81601">
      <w:pPr>
        <w:numPr>
          <w:ilvl w:val="0"/>
          <w:numId w:val="1"/>
        </w:numPr>
        <w:ind w:right="908"/>
        <w:rPr>
          <w:sz w:val="22"/>
          <w:lang w:val="sv-SE"/>
        </w:rPr>
      </w:pPr>
      <w:r>
        <w:rPr>
          <w:sz w:val="22"/>
          <w:lang w:val="sv-SE"/>
        </w:rPr>
        <w:t xml:space="preserve">DON-problemen </w:t>
      </w:r>
      <w:r w:rsidR="00020DF8">
        <w:rPr>
          <w:sz w:val="22"/>
          <w:lang w:val="sv-SE"/>
        </w:rPr>
        <w:t xml:space="preserve">visade detta år </w:t>
      </w:r>
      <w:r>
        <w:rPr>
          <w:sz w:val="22"/>
          <w:lang w:val="sv-SE"/>
        </w:rPr>
        <w:t xml:space="preserve">på </w:t>
      </w:r>
      <w:r w:rsidR="00020DF8">
        <w:rPr>
          <w:sz w:val="22"/>
          <w:lang w:val="sv-SE"/>
        </w:rPr>
        <w:t>den lägsta förekomsten av DON, sedan handeln inledde sitt samarbete 2011.</w:t>
      </w:r>
      <w:r>
        <w:rPr>
          <w:sz w:val="22"/>
          <w:lang w:val="sv-SE"/>
        </w:rPr>
        <w:t xml:space="preserve"> Den förekomst som kunde </w:t>
      </w:r>
      <w:r w:rsidR="00772A6A">
        <w:rPr>
          <w:sz w:val="22"/>
          <w:lang w:val="sv-SE"/>
        </w:rPr>
        <w:t>konstateras</w:t>
      </w:r>
      <w:r>
        <w:rPr>
          <w:sz w:val="22"/>
          <w:lang w:val="sv-SE"/>
        </w:rPr>
        <w:t xml:space="preserve"> fanns i första hand i västsvensk havre, där också problemen varit som störst tidigare år.</w:t>
      </w:r>
      <w:r w:rsidR="003911F1">
        <w:rPr>
          <w:sz w:val="22"/>
          <w:lang w:val="sv-SE"/>
        </w:rPr>
        <w:t xml:space="preserve"> Oavsett nivå på problemen, har dessa således hittills varit mest frekventa i västra Sverige.</w:t>
      </w:r>
    </w:p>
    <w:p w14:paraId="30919C7A" w14:textId="77777777" w:rsidR="003911F1" w:rsidRDefault="003911F1" w:rsidP="003911F1">
      <w:pPr>
        <w:ind w:left="720" w:right="908"/>
        <w:rPr>
          <w:sz w:val="22"/>
          <w:lang w:val="sv-SE"/>
        </w:rPr>
      </w:pPr>
      <w:r>
        <w:rPr>
          <w:sz w:val="22"/>
          <w:lang w:val="sv-SE"/>
        </w:rPr>
        <w:t>Förekomsten av höga DON-värden var också lokal</w:t>
      </w:r>
      <w:r w:rsidRPr="00BD6704">
        <w:rPr>
          <w:sz w:val="22"/>
          <w:lang w:val="sv-SE"/>
        </w:rPr>
        <w:t>.</w:t>
      </w:r>
      <w:r>
        <w:rPr>
          <w:sz w:val="22"/>
          <w:lang w:val="sv-SE"/>
        </w:rPr>
        <w:t xml:space="preserve"> Det kan finnas skäl att fördjupa sig i vad som kan ligga bakom dessa lokala problem.</w:t>
      </w:r>
    </w:p>
    <w:p w14:paraId="5D2CC492" w14:textId="77777777" w:rsidR="00263A0D" w:rsidRPr="00263A0D" w:rsidRDefault="00263A0D" w:rsidP="00263A0D">
      <w:pPr>
        <w:numPr>
          <w:ilvl w:val="0"/>
          <w:numId w:val="1"/>
        </w:numPr>
        <w:ind w:right="908"/>
        <w:rPr>
          <w:sz w:val="22"/>
          <w:lang w:val="sv-SE"/>
        </w:rPr>
      </w:pPr>
      <w:r w:rsidRPr="00BD6704">
        <w:rPr>
          <w:sz w:val="22"/>
          <w:lang w:val="sv-SE"/>
        </w:rPr>
        <w:t>DON-värdena</w:t>
      </w:r>
      <w:r w:rsidR="00F81601">
        <w:rPr>
          <w:sz w:val="22"/>
          <w:lang w:val="sv-SE"/>
        </w:rPr>
        <w:t xml:space="preserve"> steg successivt under h</w:t>
      </w:r>
      <w:r w:rsidR="003911F1">
        <w:rPr>
          <w:sz w:val="22"/>
          <w:lang w:val="sv-SE"/>
        </w:rPr>
        <w:t>östen</w:t>
      </w:r>
      <w:r w:rsidR="00772A6A">
        <w:rPr>
          <w:sz w:val="22"/>
          <w:lang w:val="sv-SE"/>
        </w:rPr>
        <w:t xml:space="preserve">, men från en mycket låg nivå.  </w:t>
      </w:r>
      <w:r w:rsidR="003911F1">
        <w:rPr>
          <w:sz w:val="22"/>
          <w:lang w:val="sv-SE"/>
        </w:rPr>
        <w:t>Att värdena</w:t>
      </w:r>
      <w:r w:rsidR="00FD7927">
        <w:rPr>
          <w:sz w:val="22"/>
          <w:lang w:val="sv-SE"/>
        </w:rPr>
        <w:t xml:space="preserve"> sedan planade ut</w:t>
      </w:r>
      <w:r w:rsidR="003911F1">
        <w:rPr>
          <w:sz w:val="22"/>
          <w:lang w:val="sv-SE"/>
        </w:rPr>
        <w:t>,</w:t>
      </w:r>
      <w:r w:rsidR="00FD7927">
        <w:rPr>
          <w:sz w:val="22"/>
          <w:lang w:val="sv-SE"/>
        </w:rPr>
        <w:t xml:space="preserve"> istället för som tidigare år fo</w:t>
      </w:r>
      <w:r w:rsidR="003911F1">
        <w:rPr>
          <w:sz w:val="22"/>
          <w:lang w:val="sv-SE"/>
        </w:rPr>
        <w:t>rtsätta</w:t>
      </w:r>
      <w:r w:rsidR="00F96963">
        <w:rPr>
          <w:sz w:val="22"/>
          <w:lang w:val="sv-SE"/>
        </w:rPr>
        <w:t xml:space="preserve"> att stiga, kan möjligen häng samman med</w:t>
      </w:r>
      <w:r w:rsidR="003911F1">
        <w:rPr>
          <w:sz w:val="22"/>
          <w:lang w:val="sv-SE"/>
        </w:rPr>
        <w:t xml:space="preserve"> den mycket torra </w:t>
      </w:r>
      <w:r w:rsidR="00FD7927">
        <w:rPr>
          <w:sz w:val="22"/>
          <w:lang w:val="sv-SE"/>
        </w:rPr>
        <w:t>hösten.</w:t>
      </w:r>
    </w:p>
    <w:p w14:paraId="197DF420" w14:textId="77777777" w:rsidR="003B5C2C" w:rsidRPr="00772A6A" w:rsidRDefault="003B5C2C" w:rsidP="00772A6A">
      <w:pPr>
        <w:numPr>
          <w:ilvl w:val="0"/>
          <w:numId w:val="1"/>
        </w:numPr>
        <w:ind w:right="908"/>
        <w:rPr>
          <w:sz w:val="22"/>
          <w:lang w:val="sv-SE"/>
        </w:rPr>
      </w:pPr>
      <w:r>
        <w:rPr>
          <w:sz w:val="22"/>
          <w:lang w:val="sv-SE"/>
        </w:rPr>
        <w:t>Det faktum att förekomsten av leveranser av höga DON-halter varit låg, ställer speciella krav på</w:t>
      </w:r>
      <w:r w:rsidR="003911F1">
        <w:rPr>
          <w:sz w:val="22"/>
          <w:lang w:val="sv-SE"/>
        </w:rPr>
        <w:t xml:space="preserve"> både lantbrukare och handel.</w:t>
      </w:r>
      <w:r>
        <w:rPr>
          <w:sz w:val="22"/>
          <w:lang w:val="sv-SE"/>
        </w:rPr>
        <w:t xml:space="preserve"> Det finns en risk att noggrannheten i provtagning och analysering blir lidande, särskilt när det </w:t>
      </w:r>
      <w:r w:rsidR="003911F1">
        <w:rPr>
          <w:sz w:val="22"/>
          <w:lang w:val="sv-SE"/>
        </w:rPr>
        <w:t>är</w:t>
      </w:r>
      <w:r>
        <w:rPr>
          <w:sz w:val="22"/>
          <w:lang w:val="sv-SE"/>
        </w:rPr>
        <w:t xml:space="preserve"> mycket stora volymer att hantera. Samtidigt är det på sitt sätt i denna situation ännu viktigare a</w:t>
      </w:r>
      <w:r w:rsidR="003911F1">
        <w:rPr>
          <w:sz w:val="22"/>
          <w:lang w:val="sv-SE"/>
        </w:rPr>
        <w:t>tt verkligen hitta och särhålla</w:t>
      </w:r>
      <w:r>
        <w:rPr>
          <w:sz w:val="22"/>
          <w:lang w:val="sv-SE"/>
        </w:rPr>
        <w:t xml:space="preserve"> de leveranser som annars kan nedklassa större partier.</w:t>
      </w:r>
    </w:p>
    <w:p w14:paraId="100B365C" w14:textId="77777777" w:rsidR="00772A6A" w:rsidRDefault="00772A6A" w:rsidP="00C53917">
      <w:pPr>
        <w:numPr>
          <w:ilvl w:val="0"/>
          <w:numId w:val="1"/>
        </w:numPr>
        <w:ind w:right="908"/>
        <w:rPr>
          <w:sz w:val="22"/>
          <w:lang w:val="sv-SE"/>
        </w:rPr>
      </w:pPr>
      <w:r>
        <w:rPr>
          <w:sz w:val="22"/>
          <w:lang w:val="sv-SE"/>
        </w:rPr>
        <w:t xml:space="preserve">Tidigare år har en tendens till lägre DON-värden i ekologisk havre observerats. Något motsvarande kunde inte </w:t>
      </w:r>
      <w:r w:rsidR="003B5C2C">
        <w:rPr>
          <w:sz w:val="22"/>
          <w:lang w:val="sv-SE"/>
        </w:rPr>
        <w:t>ses</w:t>
      </w:r>
      <w:r w:rsidR="003911F1">
        <w:rPr>
          <w:sz w:val="22"/>
          <w:lang w:val="sv-SE"/>
        </w:rPr>
        <w:t xml:space="preserve"> under 2015</w:t>
      </w:r>
      <w:r>
        <w:rPr>
          <w:sz w:val="22"/>
          <w:lang w:val="sv-SE"/>
        </w:rPr>
        <w:t>. Snarare observerades på sina håll högre snittvärden för ekologisk vara jämfört med konventionell. Några mer ingående studier av materialet i dessa avseenden har inte gjorts, och projektgruppen anser inte att det går att dra några närmare slu</w:t>
      </w:r>
      <w:r w:rsidR="00F96963">
        <w:rPr>
          <w:sz w:val="22"/>
          <w:lang w:val="sv-SE"/>
        </w:rPr>
        <w:t>tsatser av gjorda observationer, vare sig dett</w:t>
      </w:r>
      <w:r w:rsidR="007D35D3">
        <w:rPr>
          <w:sz w:val="22"/>
          <w:lang w:val="sv-SE"/>
        </w:rPr>
        <w:t>a</w:t>
      </w:r>
      <w:r w:rsidR="00F96963">
        <w:rPr>
          <w:sz w:val="22"/>
          <w:lang w:val="sv-SE"/>
        </w:rPr>
        <w:t xml:space="preserve"> eller tidigare år.</w:t>
      </w:r>
      <w:r>
        <w:rPr>
          <w:sz w:val="22"/>
          <w:lang w:val="sv-SE"/>
        </w:rPr>
        <w:t xml:space="preserve"> </w:t>
      </w:r>
      <w:r w:rsidR="003B5C2C">
        <w:rPr>
          <w:sz w:val="22"/>
          <w:lang w:val="sv-SE"/>
        </w:rPr>
        <w:t>Detta är ett område som skulle behöva undersökas mer ingående.</w:t>
      </w:r>
    </w:p>
    <w:p w14:paraId="19312CE2" w14:textId="77777777" w:rsidR="003E012A" w:rsidRDefault="003E012A" w:rsidP="00C53917">
      <w:pPr>
        <w:numPr>
          <w:ilvl w:val="0"/>
          <w:numId w:val="1"/>
        </w:numPr>
        <w:ind w:right="908"/>
        <w:rPr>
          <w:sz w:val="22"/>
          <w:lang w:val="sv-SE"/>
        </w:rPr>
      </w:pPr>
      <w:r>
        <w:rPr>
          <w:sz w:val="22"/>
          <w:lang w:val="sv-SE"/>
        </w:rPr>
        <w:t>Ett prov med halter av T2/HT-2 över riktvärdet gjorde att antalet analyser utökad</w:t>
      </w:r>
      <w:r w:rsidR="00F96963">
        <w:rPr>
          <w:sz w:val="22"/>
          <w:lang w:val="sv-SE"/>
        </w:rPr>
        <w:t>es</w:t>
      </w:r>
      <w:r>
        <w:rPr>
          <w:sz w:val="22"/>
          <w:lang w:val="sv-SE"/>
        </w:rPr>
        <w:t>. Även om dessa inte visade på några fler prover med halter över gränsvärdet, kunde klara förhöjningar noteras. Detta understryker vikten av att inte bara fokusera på DON när det gäller toxinförekomst.</w:t>
      </w:r>
    </w:p>
    <w:p w14:paraId="0E939C31" w14:textId="77777777" w:rsidR="00F53E3F" w:rsidRDefault="00F53E3F" w:rsidP="00F53E3F">
      <w:pPr>
        <w:pStyle w:val="Liststycke"/>
        <w:ind w:left="644" w:right="908"/>
        <w:rPr>
          <w:b/>
          <w:sz w:val="22"/>
          <w:lang w:val="sv-SE"/>
        </w:rPr>
      </w:pPr>
    </w:p>
    <w:p w14:paraId="4FDBBF38" w14:textId="77777777" w:rsidR="00886FA6" w:rsidRPr="00474BB4" w:rsidRDefault="00474BB4" w:rsidP="00474BB4">
      <w:pPr>
        <w:pStyle w:val="Liststycke"/>
        <w:numPr>
          <w:ilvl w:val="0"/>
          <w:numId w:val="4"/>
        </w:numPr>
        <w:ind w:right="908"/>
        <w:rPr>
          <w:b/>
          <w:sz w:val="22"/>
          <w:lang w:val="sv-SE"/>
        </w:rPr>
      </w:pPr>
      <w:r>
        <w:rPr>
          <w:b/>
          <w:sz w:val="22"/>
          <w:lang w:val="sv-SE"/>
        </w:rPr>
        <w:t>S</w:t>
      </w:r>
      <w:r w:rsidR="00886FA6">
        <w:rPr>
          <w:b/>
          <w:sz w:val="22"/>
          <w:lang w:val="sv-SE"/>
        </w:rPr>
        <w:t>lutord</w:t>
      </w:r>
    </w:p>
    <w:p w14:paraId="3C43A2C2" w14:textId="77777777" w:rsidR="002E782C" w:rsidRPr="00BD6704" w:rsidRDefault="00F53E3F" w:rsidP="00EC0CF0">
      <w:pPr>
        <w:ind w:right="908"/>
        <w:rPr>
          <w:sz w:val="22"/>
          <w:lang w:val="sv-SE"/>
        </w:rPr>
      </w:pPr>
      <w:r>
        <w:rPr>
          <w:sz w:val="22"/>
          <w:lang w:val="sv-SE"/>
        </w:rPr>
        <w:t xml:space="preserve">Detta var det </w:t>
      </w:r>
      <w:r w:rsidR="003E012A">
        <w:rPr>
          <w:sz w:val="22"/>
          <w:lang w:val="sv-SE"/>
        </w:rPr>
        <w:t>femte</w:t>
      </w:r>
      <w:r>
        <w:rPr>
          <w:sz w:val="22"/>
          <w:lang w:val="sv-SE"/>
        </w:rPr>
        <w:t xml:space="preserve"> </w:t>
      </w:r>
      <w:r w:rsidR="003E608A">
        <w:rPr>
          <w:sz w:val="22"/>
          <w:lang w:val="sv-SE"/>
        </w:rPr>
        <w:t>året branschen genomförde ett provtagningsprojekt.</w:t>
      </w:r>
      <w:r w:rsidR="003911F1">
        <w:rPr>
          <w:sz w:val="22"/>
          <w:lang w:val="sv-SE"/>
        </w:rPr>
        <w:t xml:space="preserve"> Det kan konstateras att inget år varit likt det andra.</w:t>
      </w:r>
      <w:r w:rsidR="003E608A">
        <w:rPr>
          <w:sz w:val="22"/>
          <w:lang w:val="sv-SE"/>
        </w:rPr>
        <w:t xml:space="preserve"> För varje år har projektet utvecklats och samarbetet mellan deltagarna</w:t>
      </w:r>
      <w:r w:rsidR="00FD7927">
        <w:rPr>
          <w:sz w:val="22"/>
          <w:lang w:val="sv-SE"/>
        </w:rPr>
        <w:t xml:space="preserve"> har också</w:t>
      </w:r>
      <w:r w:rsidR="003E608A">
        <w:rPr>
          <w:sz w:val="22"/>
          <w:lang w:val="sv-SE"/>
        </w:rPr>
        <w:t xml:space="preserve"> fördjupats.</w:t>
      </w:r>
      <w:r>
        <w:rPr>
          <w:sz w:val="22"/>
          <w:lang w:val="sv-SE"/>
        </w:rPr>
        <w:t xml:space="preserve"> Under mötena har även andra frågor som rör produktkvalitet diskuterats</w:t>
      </w:r>
      <w:r w:rsidR="00FD7927">
        <w:rPr>
          <w:sz w:val="22"/>
          <w:lang w:val="sv-SE"/>
        </w:rPr>
        <w:t>, t ex andra former av svampangrepp och provtagnings- och analysmetodik.</w:t>
      </w:r>
      <w:r w:rsidR="00263A0D">
        <w:rPr>
          <w:sz w:val="22"/>
          <w:lang w:val="sv-SE"/>
        </w:rPr>
        <w:t xml:space="preserve"> </w:t>
      </w:r>
      <w:r w:rsidR="003E608A">
        <w:rPr>
          <w:sz w:val="22"/>
          <w:lang w:val="sv-SE"/>
        </w:rPr>
        <w:t>Intresset från andra aktörer i livsmedel</w:t>
      </w:r>
      <w:r w:rsidR="00FD7927">
        <w:rPr>
          <w:sz w:val="22"/>
          <w:lang w:val="sv-SE"/>
        </w:rPr>
        <w:t>s</w:t>
      </w:r>
      <w:r w:rsidR="003E608A">
        <w:rPr>
          <w:sz w:val="22"/>
          <w:lang w:val="sv-SE"/>
        </w:rPr>
        <w:t>kedjan, myndigheter och media har</w:t>
      </w:r>
      <w:r w:rsidR="003E012A">
        <w:rPr>
          <w:sz w:val="22"/>
          <w:lang w:val="sv-SE"/>
        </w:rPr>
        <w:t xml:space="preserve"> successivt</w:t>
      </w:r>
      <w:r w:rsidR="003E608A">
        <w:rPr>
          <w:sz w:val="22"/>
          <w:lang w:val="sv-SE"/>
        </w:rPr>
        <w:t xml:space="preserve"> ökat för projektet</w:t>
      </w:r>
      <w:r w:rsidR="003E012A">
        <w:rPr>
          <w:sz w:val="22"/>
          <w:lang w:val="sv-SE"/>
        </w:rPr>
        <w:t xml:space="preserve"> och den sändlista som upprättats för lägesrapporter utvidgas ständigt.</w:t>
      </w:r>
      <w:r w:rsidR="003E608A">
        <w:rPr>
          <w:sz w:val="22"/>
          <w:lang w:val="sv-SE"/>
        </w:rPr>
        <w:t xml:space="preserve"> Projektgruppens rekommendation är att parterna</w:t>
      </w:r>
      <w:r w:rsidR="003E012A">
        <w:rPr>
          <w:sz w:val="22"/>
          <w:lang w:val="sv-SE"/>
        </w:rPr>
        <w:t xml:space="preserve"> i projektet</w:t>
      </w:r>
      <w:r w:rsidR="003E608A">
        <w:rPr>
          <w:sz w:val="22"/>
          <w:lang w:val="sv-SE"/>
        </w:rPr>
        <w:t xml:space="preserve"> sk</w:t>
      </w:r>
      <w:r w:rsidR="003E012A">
        <w:rPr>
          <w:sz w:val="22"/>
          <w:lang w:val="sv-SE"/>
        </w:rPr>
        <w:t>all forts</w:t>
      </w:r>
      <w:r w:rsidR="00FD7927">
        <w:rPr>
          <w:sz w:val="22"/>
          <w:lang w:val="sv-SE"/>
        </w:rPr>
        <w:t>ätta sitt samarbete inom toxinområdet</w:t>
      </w:r>
      <w:r w:rsidR="003E012A">
        <w:rPr>
          <w:sz w:val="22"/>
          <w:lang w:val="sv-SE"/>
        </w:rPr>
        <w:t xml:space="preserve">, till gagn både för branschen och för svensk växtodling. Även om flera projekt startats inom </w:t>
      </w:r>
      <w:proofErr w:type="spellStart"/>
      <w:r w:rsidR="00BF3FD5">
        <w:rPr>
          <w:sz w:val="22"/>
          <w:lang w:val="sv-SE"/>
        </w:rPr>
        <w:t>mykotoxinområdet</w:t>
      </w:r>
      <w:proofErr w:type="spellEnd"/>
      <w:r w:rsidR="003E012A">
        <w:rPr>
          <w:sz w:val="22"/>
          <w:lang w:val="sv-SE"/>
        </w:rPr>
        <w:t xml:space="preserve"> under åre</w:t>
      </w:r>
      <w:r w:rsidR="003E012A" w:rsidRPr="003E608A">
        <w:rPr>
          <w:sz w:val="22"/>
          <w:lang w:val="sv-SE"/>
        </w:rPr>
        <w:t>t</w:t>
      </w:r>
      <w:r w:rsidR="00F96963">
        <w:rPr>
          <w:sz w:val="22"/>
          <w:lang w:val="sv-SE"/>
        </w:rPr>
        <w:t>,</w:t>
      </w:r>
      <w:r w:rsidR="003E012A" w:rsidRPr="003E608A">
        <w:rPr>
          <w:sz w:val="22"/>
          <w:lang w:val="sv-SE"/>
        </w:rPr>
        <w:t xml:space="preserve"> kan </w:t>
      </w:r>
      <w:r w:rsidR="003B5C2C">
        <w:rPr>
          <w:sz w:val="22"/>
          <w:lang w:val="sv-SE"/>
        </w:rPr>
        <w:t xml:space="preserve">slutligen </w:t>
      </w:r>
      <w:r w:rsidR="003E012A" w:rsidRPr="003E608A">
        <w:rPr>
          <w:sz w:val="22"/>
          <w:lang w:val="sv-SE"/>
        </w:rPr>
        <w:t xml:space="preserve">konstateras att </w:t>
      </w:r>
      <w:r w:rsidR="003E012A">
        <w:rPr>
          <w:sz w:val="22"/>
          <w:lang w:val="sv-SE"/>
        </w:rPr>
        <w:t>behoven av forskning, försök och teknikutveckling fortfarande är mycket stora.</w:t>
      </w:r>
    </w:p>
    <w:p w14:paraId="09C7B709" w14:textId="77777777" w:rsidR="002E782C" w:rsidRPr="00BD6704" w:rsidRDefault="002E782C" w:rsidP="0031312E">
      <w:pPr>
        <w:ind w:right="908"/>
        <w:rPr>
          <w:sz w:val="22"/>
          <w:lang w:val="sv-SE"/>
        </w:rPr>
      </w:pPr>
    </w:p>
    <w:p w14:paraId="4DC57D7B" w14:textId="77777777" w:rsidR="002E782C" w:rsidRPr="00BD6704" w:rsidRDefault="002E782C" w:rsidP="0031312E">
      <w:pPr>
        <w:ind w:right="908"/>
        <w:rPr>
          <w:sz w:val="22"/>
          <w:lang w:val="sv-SE"/>
        </w:rPr>
      </w:pPr>
    </w:p>
    <w:p w14:paraId="2C6BADC7" w14:textId="2CF8FBA8" w:rsidR="00D07400" w:rsidRDefault="00F53E3F" w:rsidP="0031312E">
      <w:pPr>
        <w:ind w:right="908"/>
        <w:rPr>
          <w:sz w:val="22"/>
          <w:lang w:val="sv-SE"/>
        </w:rPr>
      </w:pPr>
      <w:r>
        <w:rPr>
          <w:sz w:val="22"/>
          <w:lang w:val="sv-SE"/>
        </w:rPr>
        <w:t xml:space="preserve">Stockholm den </w:t>
      </w:r>
      <w:r w:rsidR="006D6C49">
        <w:rPr>
          <w:sz w:val="22"/>
          <w:lang w:val="sv-SE"/>
        </w:rPr>
        <w:t xml:space="preserve">1 december </w:t>
      </w:r>
      <w:bookmarkStart w:id="0" w:name="_GoBack"/>
      <w:bookmarkEnd w:id="0"/>
      <w:r w:rsidR="00772A6A">
        <w:rPr>
          <w:sz w:val="22"/>
          <w:lang w:val="sv-SE"/>
        </w:rPr>
        <w:t>2015</w:t>
      </w:r>
    </w:p>
    <w:p w14:paraId="39F679D2" w14:textId="77777777" w:rsidR="0031312E" w:rsidRPr="00BD6704" w:rsidRDefault="00D07400" w:rsidP="0031312E">
      <w:pPr>
        <w:ind w:right="908"/>
        <w:rPr>
          <w:sz w:val="22"/>
          <w:lang w:val="sv-SE"/>
        </w:rPr>
      </w:pPr>
      <w:r>
        <w:rPr>
          <w:sz w:val="22"/>
          <w:lang w:val="sv-SE"/>
        </w:rPr>
        <w:t>F</w:t>
      </w:r>
      <w:r w:rsidR="0031312E" w:rsidRPr="00BD6704">
        <w:rPr>
          <w:sz w:val="22"/>
          <w:lang w:val="sv-SE"/>
        </w:rPr>
        <w:t>ör projektgruppen</w:t>
      </w:r>
    </w:p>
    <w:p w14:paraId="3FAC2E8D" w14:textId="77777777" w:rsidR="0031312E" w:rsidRPr="00BD6704" w:rsidRDefault="0031312E" w:rsidP="0031312E">
      <w:pPr>
        <w:ind w:right="908"/>
        <w:rPr>
          <w:sz w:val="22"/>
          <w:lang w:val="sv-SE"/>
        </w:rPr>
      </w:pPr>
    </w:p>
    <w:p w14:paraId="4B82B914" w14:textId="77777777" w:rsidR="0031312E" w:rsidRPr="00BD6704" w:rsidRDefault="0031312E" w:rsidP="0031312E">
      <w:pPr>
        <w:ind w:right="908"/>
        <w:rPr>
          <w:sz w:val="22"/>
          <w:lang w:val="sv-SE"/>
        </w:rPr>
      </w:pPr>
      <w:r w:rsidRPr="00BD6704">
        <w:rPr>
          <w:sz w:val="22"/>
          <w:lang w:val="sv-SE"/>
        </w:rPr>
        <w:t>Er</w:t>
      </w:r>
      <w:r w:rsidR="00AD64D0" w:rsidRPr="00BD6704">
        <w:rPr>
          <w:sz w:val="22"/>
          <w:lang w:val="sv-SE"/>
        </w:rPr>
        <w:t>ik Hartman</w:t>
      </w:r>
      <w:r w:rsidR="00772A6A">
        <w:rPr>
          <w:sz w:val="22"/>
          <w:lang w:val="sv-SE"/>
        </w:rPr>
        <w:tab/>
      </w:r>
      <w:r w:rsidR="00C92CB1">
        <w:rPr>
          <w:sz w:val="22"/>
          <w:lang w:val="sv-SE"/>
        </w:rPr>
        <w:tab/>
      </w:r>
      <w:r w:rsidR="00782FFE">
        <w:rPr>
          <w:sz w:val="22"/>
          <w:lang w:val="sv-SE"/>
        </w:rPr>
        <w:t xml:space="preserve"> </w:t>
      </w:r>
    </w:p>
    <w:p w14:paraId="710316A5" w14:textId="77777777" w:rsidR="003E012A" w:rsidRDefault="001F46F1" w:rsidP="00F0525E">
      <w:pPr>
        <w:ind w:right="908"/>
        <w:rPr>
          <w:sz w:val="22"/>
          <w:lang w:val="sv-SE"/>
        </w:rPr>
      </w:pPr>
      <w:r>
        <w:rPr>
          <w:sz w:val="22"/>
          <w:lang w:val="sv-SE"/>
        </w:rPr>
        <w:t>Föreningen Foder &amp;</w:t>
      </w:r>
      <w:r w:rsidR="00D91A96">
        <w:rPr>
          <w:sz w:val="22"/>
          <w:lang w:val="sv-SE"/>
        </w:rPr>
        <w:t xml:space="preserve"> </w:t>
      </w:r>
      <w:r>
        <w:rPr>
          <w:sz w:val="22"/>
          <w:lang w:val="sv-SE"/>
        </w:rPr>
        <w:t>Spannmål</w:t>
      </w:r>
      <w:r w:rsidR="005466B0">
        <w:rPr>
          <w:sz w:val="22"/>
          <w:lang w:val="sv-SE"/>
        </w:rPr>
        <w:tab/>
      </w:r>
      <w:r w:rsidR="00D91A96">
        <w:rPr>
          <w:sz w:val="22"/>
          <w:lang w:val="sv-SE"/>
        </w:rPr>
        <w:tab/>
      </w:r>
    </w:p>
    <w:p w14:paraId="1E88A4BD" w14:textId="77777777" w:rsidR="00F728C7" w:rsidRDefault="00F728C7" w:rsidP="00F0525E">
      <w:pPr>
        <w:ind w:right="908"/>
        <w:rPr>
          <w:sz w:val="22"/>
          <w:lang w:val="sv-SE"/>
        </w:rPr>
      </w:pPr>
    </w:p>
    <w:p w14:paraId="7B24B69B" w14:textId="77777777" w:rsidR="009D1280" w:rsidRDefault="009D1280" w:rsidP="00F0525E">
      <w:pPr>
        <w:ind w:right="908"/>
        <w:rPr>
          <w:sz w:val="22"/>
          <w:lang w:val="sv-SE"/>
        </w:rPr>
      </w:pPr>
      <w:r>
        <w:rPr>
          <w:sz w:val="22"/>
          <w:lang w:val="sv-SE"/>
        </w:rPr>
        <w:t>Bilaga 1</w:t>
      </w:r>
    </w:p>
    <w:p w14:paraId="4A7E513E" w14:textId="77777777" w:rsidR="00C83E26" w:rsidRDefault="00C83E26" w:rsidP="00F0525E">
      <w:pPr>
        <w:ind w:right="908"/>
        <w:rPr>
          <w:sz w:val="22"/>
          <w:lang w:val="sv-SE"/>
        </w:rPr>
      </w:pPr>
    </w:p>
    <w:p w14:paraId="6AFF97F4" w14:textId="77777777" w:rsidR="00C83E26" w:rsidRPr="00ED0F4F" w:rsidRDefault="00C83E26" w:rsidP="00F0525E">
      <w:pPr>
        <w:ind w:right="908"/>
        <w:rPr>
          <w:b/>
          <w:sz w:val="22"/>
          <w:lang w:val="sv-SE"/>
        </w:rPr>
      </w:pPr>
      <w:r w:rsidRPr="00ED0F4F">
        <w:rPr>
          <w:b/>
          <w:sz w:val="22"/>
          <w:lang w:val="sv-SE"/>
        </w:rPr>
        <w:t xml:space="preserve">Deltagare i projektgruppen för provtagning </w:t>
      </w:r>
      <w:proofErr w:type="spellStart"/>
      <w:r w:rsidRPr="00ED0F4F">
        <w:rPr>
          <w:b/>
          <w:sz w:val="22"/>
          <w:lang w:val="sv-SE"/>
        </w:rPr>
        <w:t>mykotoxiner</w:t>
      </w:r>
      <w:proofErr w:type="spellEnd"/>
      <w:r w:rsidRPr="00ED0F4F">
        <w:rPr>
          <w:b/>
          <w:sz w:val="22"/>
          <w:lang w:val="sv-SE"/>
        </w:rPr>
        <w:t xml:space="preserve"> 201</w:t>
      </w:r>
      <w:r w:rsidR="003E012A">
        <w:rPr>
          <w:b/>
          <w:sz w:val="22"/>
          <w:lang w:val="sv-SE"/>
        </w:rPr>
        <w:t>5</w:t>
      </w:r>
    </w:p>
    <w:p w14:paraId="6A756313" w14:textId="77777777" w:rsidR="00ED0F4F" w:rsidRDefault="00ED0F4F" w:rsidP="00F0525E">
      <w:pPr>
        <w:ind w:right="908"/>
        <w:rPr>
          <w:sz w:val="22"/>
          <w:lang w:val="sv-SE"/>
        </w:rPr>
      </w:pPr>
    </w:p>
    <w:p w14:paraId="3466BE6C" w14:textId="77777777" w:rsidR="00C83E26" w:rsidRDefault="00C83E26" w:rsidP="00F0525E">
      <w:pPr>
        <w:ind w:right="908"/>
        <w:rPr>
          <w:sz w:val="22"/>
          <w:lang w:val="sv-SE"/>
        </w:rPr>
      </w:pPr>
      <w:r w:rsidRPr="00C83E26">
        <w:rPr>
          <w:sz w:val="22"/>
          <w:lang w:val="sv-SE"/>
        </w:rPr>
        <w:t xml:space="preserve">Fredrik Blad, Varaslättens Lagerhus </w:t>
      </w:r>
    </w:p>
    <w:p w14:paraId="64A40C00" w14:textId="77777777" w:rsidR="00BF3FD5" w:rsidRDefault="00BF3FD5" w:rsidP="00F0525E">
      <w:pPr>
        <w:ind w:right="908"/>
        <w:rPr>
          <w:sz w:val="22"/>
          <w:lang w:val="sv-SE"/>
        </w:rPr>
      </w:pPr>
      <w:r>
        <w:rPr>
          <w:sz w:val="22"/>
          <w:lang w:val="sv-SE"/>
        </w:rPr>
        <w:t>Thomas Börjesson</w:t>
      </w:r>
      <w:r w:rsidRPr="00BF3FD5">
        <w:rPr>
          <w:sz w:val="22"/>
          <w:lang w:val="sv-SE"/>
        </w:rPr>
        <w:t xml:space="preserve">, </w:t>
      </w:r>
      <w:proofErr w:type="spellStart"/>
      <w:r w:rsidR="009105EA">
        <w:rPr>
          <w:sz w:val="22"/>
          <w:lang w:val="sv-SE"/>
        </w:rPr>
        <w:t>Agroväst</w:t>
      </w:r>
      <w:proofErr w:type="spellEnd"/>
      <w:r w:rsidRPr="00BF3FD5">
        <w:rPr>
          <w:sz w:val="22"/>
          <w:lang w:val="sv-SE"/>
        </w:rPr>
        <w:t xml:space="preserve"> </w:t>
      </w:r>
    </w:p>
    <w:p w14:paraId="046D42E1" w14:textId="77777777" w:rsidR="009105EA" w:rsidRDefault="009105EA" w:rsidP="00F0525E">
      <w:pPr>
        <w:ind w:right="908"/>
        <w:rPr>
          <w:sz w:val="22"/>
          <w:lang w:val="sv-SE"/>
        </w:rPr>
      </w:pPr>
      <w:r>
        <w:rPr>
          <w:sz w:val="22"/>
          <w:lang w:val="sv-SE"/>
        </w:rPr>
        <w:t>Per-Arne Gustafsson, Svenska Foder (från 1 september)</w:t>
      </w:r>
    </w:p>
    <w:p w14:paraId="6EAB7446" w14:textId="77777777" w:rsidR="00C83E26" w:rsidRDefault="00C83E26" w:rsidP="00F0525E">
      <w:pPr>
        <w:ind w:right="908"/>
        <w:rPr>
          <w:sz w:val="22"/>
          <w:lang w:val="sv-SE"/>
        </w:rPr>
      </w:pPr>
      <w:r>
        <w:rPr>
          <w:sz w:val="22"/>
          <w:lang w:val="sv-SE"/>
        </w:rPr>
        <w:t xml:space="preserve">Erik Hartman, Foder &amp; </w:t>
      </w:r>
      <w:r w:rsidR="00D91A96">
        <w:rPr>
          <w:sz w:val="22"/>
          <w:lang w:val="sv-SE"/>
        </w:rPr>
        <w:t>S</w:t>
      </w:r>
      <w:r>
        <w:rPr>
          <w:sz w:val="22"/>
          <w:lang w:val="sv-SE"/>
        </w:rPr>
        <w:t>pannmål</w:t>
      </w:r>
      <w:r w:rsidR="00D91A96">
        <w:rPr>
          <w:sz w:val="22"/>
          <w:lang w:val="sv-SE"/>
        </w:rPr>
        <w:t>, projektledare</w:t>
      </w:r>
    </w:p>
    <w:p w14:paraId="429886A8" w14:textId="77777777" w:rsidR="00C83E26" w:rsidRDefault="00C83E26" w:rsidP="00F0525E">
      <w:pPr>
        <w:ind w:right="908"/>
        <w:rPr>
          <w:sz w:val="22"/>
          <w:lang w:val="sv-SE"/>
        </w:rPr>
      </w:pPr>
      <w:r w:rsidRPr="00C83E26">
        <w:rPr>
          <w:sz w:val="22"/>
          <w:lang w:val="sv-SE"/>
        </w:rPr>
        <w:t xml:space="preserve">Jonas Henriksson, </w:t>
      </w:r>
      <w:r>
        <w:rPr>
          <w:sz w:val="22"/>
          <w:lang w:val="sv-SE"/>
        </w:rPr>
        <w:t>Lantmännen</w:t>
      </w:r>
    </w:p>
    <w:p w14:paraId="7072C427" w14:textId="77777777" w:rsidR="00D91A96" w:rsidRDefault="00D91A96" w:rsidP="00D91A96">
      <w:pPr>
        <w:ind w:right="908"/>
        <w:rPr>
          <w:sz w:val="22"/>
          <w:lang w:val="sv-SE"/>
        </w:rPr>
      </w:pPr>
      <w:r>
        <w:rPr>
          <w:sz w:val="22"/>
          <w:lang w:val="sv-SE"/>
        </w:rPr>
        <w:t xml:space="preserve">Morten </w:t>
      </w:r>
      <w:proofErr w:type="spellStart"/>
      <w:r>
        <w:rPr>
          <w:sz w:val="22"/>
          <w:lang w:val="sv-SE"/>
        </w:rPr>
        <w:t>Hoel</w:t>
      </w:r>
      <w:proofErr w:type="spellEnd"/>
      <w:r>
        <w:rPr>
          <w:sz w:val="22"/>
          <w:lang w:val="sv-SE"/>
        </w:rPr>
        <w:t>, Svenska Foder</w:t>
      </w:r>
      <w:r w:rsidR="009105EA">
        <w:rPr>
          <w:sz w:val="22"/>
          <w:lang w:val="sv-SE"/>
        </w:rPr>
        <w:t xml:space="preserve"> (fram till 1 september)</w:t>
      </w:r>
    </w:p>
    <w:p w14:paraId="7DDC064C" w14:textId="77777777" w:rsidR="00C83E26" w:rsidRDefault="00C83E26" w:rsidP="00F0525E">
      <w:pPr>
        <w:ind w:right="908"/>
        <w:rPr>
          <w:sz w:val="22"/>
          <w:lang w:val="sv-SE"/>
        </w:rPr>
      </w:pPr>
      <w:r w:rsidRPr="00C83E26">
        <w:rPr>
          <w:sz w:val="22"/>
          <w:lang w:val="sv-SE"/>
        </w:rPr>
        <w:t xml:space="preserve">Göran Karlsson, </w:t>
      </w:r>
      <w:r>
        <w:rPr>
          <w:sz w:val="22"/>
          <w:lang w:val="sv-SE"/>
        </w:rPr>
        <w:t>Lantmännen</w:t>
      </w:r>
    </w:p>
    <w:p w14:paraId="7CEA94CE" w14:textId="77777777" w:rsidR="00383A20" w:rsidRDefault="00383A20" w:rsidP="00F0525E">
      <w:pPr>
        <w:ind w:right="908"/>
        <w:rPr>
          <w:sz w:val="22"/>
          <w:lang w:val="sv-SE"/>
        </w:rPr>
      </w:pPr>
      <w:r>
        <w:rPr>
          <w:sz w:val="22"/>
          <w:lang w:val="sv-SE"/>
        </w:rPr>
        <w:t xml:space="preserve">Annika </w:t>
      </w:r>
      <w:proofErr w:type="spellStart"/>
      <w:r>
        <w:rPr>
          <w:sz w:val="22"/>
          <w:lang w:val="sv-SE"/>
        </w:rPr>
        <w:t>Kernholt</w:t>
      </w:r>
      <w:proofErr w:type="spellEnd"/>
      <w:r>
        <w:rPr>
          <w:sz w:val="22"/>
          <w:lang w:val="sv-SE"/>
        </w:rPr>
        <w:t>, Kalmar Lantmän</w:t>
      </w:r>
    </w:p>
    <w:p w14:paraId="4E5BA523" w14:textId="77777777" w:rsidR="00C83E26" w:rsidRDefault="00C83E26" w:rsidP="00F0525E">
      <w:pPr>
        <w:ind w:right="908"/>
        <w:rPr>
          <w:sz w:val="22"/>
          <w:lang w:val="sv-SE"/>
        </w:rPr>
      </w:pPr>
      <w:r w:rsidRPr="00C83E26">
        <w:rPr>
          <w:sz w:val="22"/>
          <w:lang w:val="sv-SE"/>
        </w:rPr>
        <w:t xml:space="preserve">Christer Nilsson, KLF </w:t>
      </w:r>
    </w:p>
    <w:p w14:paraId="2CDB04C3" w14:textId="77777777" w:rsidR="00C83E26" w:rsidRDefault="00D91A96" w:rsidP="00F0525E">
      <w:pPr>
        <w:ind w:right="908"/>
        <w:rPr>
          <w:sz w:val="22"/>
          <w:lang w:val="sv-SE"/>
        </w:rPr>
      </w:pPr>
      <w:r>
        <w:rPr>
          <w:sz w:val="22"/>
          <w:lang w:val="sv-SE"/>
        </w:rPr>
        <w:t>Henrik</w:t>
      </w:r>
      <w:r w:rsidRPr="00C83E26">
        <w:rPr>
          <w:sz w:val="22"/>
          <w:lang w:val="sv-SE"/>
        </w:rPr>
        <w:t xml:space="preserve"> </w:t>
      </w:r>
      <w:proofErr w:type="spellStart"/>
      <w:r w:rsidR="00C83E26" w:rsidRPr="00C83E26">
        <w:rPr>
          <w:sz w:val="22"/>
          <w:lang w:val="sv-SE"/>
        </w:rPr>
        <w:t>Pagré</w:t>
      </w:r>
      <w:proofErr w:type="spellEnd"/>
      <w:r w:rsidR="00C83E26" w:rsidRPr="00C83E26">
        <w:rPr>
          <w:sz w:val="22"/>
          <w:lang w:val="sv-SE"/>
        </w:rPr>
        <w:t xml:space="preserve">, </w:t>
      </w:r>
      <w:proofErr w:type="spellStart"/>
      <w:r w:rsidR="00C83E26">
        <w:rPr>
          <w:sz w:val="22"/>
          <w:lang w:val="sv-SE"/>
        </w:rPr>
        <w:t>Värmlant</w:t>
      </w:r>
      <w:proofErr w:type="spellEnd"/>
      <w:r w:rsidR="009105EA">
        <w:rPr>
          <w:sz w:val="22"/>
          <w:lang w:val="sv-SE"/>
        </w:rPr>
        <w:t xml:space="preserve"> (fram till 1 oktober)</w:t>
      </w:r>
    </w:p>
    <w:p w14:paraId="69526688" w14:textId="77777777" w:rsidR="00C83E26" w:rsidRDefault="00C83E26" w:rsidP="00F0525E">
      <w:pPr>
        <w:ind w:right="908"/>
        <w:rPr>
          <w:sz w:val="22"/>
          <w:lang w:val="sv-SE"/>
        </w:rPr>
      </w:pPr>
      <w:r w:rsidRPr="00C83E26">
        <w:rPr>
          <w:sz w:val="22"/>
          <w:lang w:val="sv-SE"/>
        </w:rPr>
        <w:t xml:space="preserve">Jan Rundqvist, </w:t>
      </w:r>
      <w:proofErr w:type="spellStart"/>
      <w:r w:rsidRPr="00C83E26">
        <w:rPr>
          <w:sz w:val="22"/>
          <w:lang w:val="sv-SE"/>
        </w:rPr>
        <w:t>Värmlant</w:t>
      </w:r>
      <w:proofErr w:type="spellEnd"/>
    </w:p>
    <w:p w14:paraId="19346A5E" w14:textId="77777777" w:rsidR="009105EA" w:rsidRDefault="009105EA" w:rsidP="00F0525E">
      <w:pPr>
        <w:ind w:right="908"/>
        <w:rPr>
          <w:sz w:val="22"/>
          <w:lang w:val="sv-SE"/>
        </w:rPr>
      </w:pPr>
      <w:r>
        <w:rPr>
          <w:sz w:val="22"/>
          <w:lang w:val="sv-SE"/>
        </w:rPr>
        <w:t>Tomas Söderlund (från 1 oktober)</w:t>
      </w:r>
    </w:p>
    <w:p w14:paraId="0AE14E66" w14:textId="77777777" w:rsidR="006B5EE5" w:rsidRDefault="00BF3FD5" w:rsidP="00F0525E">
      <w:pPr>
        <w:ind w:right="908"/>
        <w:rPr>
          <w:sz w:val="22"/>
          <w:lang w:val="sv-SE"/>
        </w:rPr>
      </w:pPr>
      <w:r w:rsidRPr="00BF3FD5">
        <w:rPr>
          <w:sz w:val="22"/>
          <w:lang w:val="sv-SE"/>
        </w:rPr>
        <w:t xml:space="preserve">Ulf </w:t>
      </w:r>
      <w:proofErr w:type="spellStart"/>
      <w:r w:rsidRPr="00BF3FD5">
        <w:rPr>
          <w:sz w:val="22"/>
          <w:lang w:val="sv-SE"/>
        </w:rPr>
        <w:t>Thorpert</w:t>
      </w:r>
      <w:proofErr w:type="spellEnd"/>
      <w:r w:rsidRPr="00BF3FD5">
        <w:rPr>
          <w:sz w:val="22"/>
          <w:lang w:val="sv-SE"/>
        </w:rPr>
        <w:t>, Svenska Foder</w:t>
      </w:r>
    </w:p>
    <w:p w14:paraId="00896604" w14:textId="77777777" w:rsidR="00C83E26" w:rsidRDefault="00C83E26" w:rsidP="00F0525E">
      <w:pPr>
        <w:ind w:right="908"/>
        <w:rPr>
          <w:sz w:val="22"/>
          <w:lang w:val="sv-SE"/>
        </w:rPr>
      </w:pPr>
      <w:r>
        <w:rPr>
          <w:sz w:val="22"/>
          <w:lang w:val="sv-SE"/>
        </w:rPr>
        <w:t>Per Ullberg, Varaslättens Lagerhus</w:t>
      </w:r>
    </w:p>
    <w:p w14:paraId="321B5B74" w14:textId="77777777" w:rsidR="00C83E26" w:rsidRDefault="00C83E26" w:rsidP="00F0525E">
      <w:pPr>
        <w:ind w:right="908"/>
        <w:rPr>
          <w:sz w:val="22"/>
          <w:lang w:val="sv-SE"/>
        </w:rPr>
      </w:pPr>
    </w:p>
    <w:p w14:paraId="5E904D3A" w14:textId="77777777" w:rsidR="009D1280" w:rsidRDefault="009D1280" w:rsidP="00F0525E">
      <w:pPr>
        <w:ind w:right="908"/>
        <w:rPr>
          <w:sz w:val="22"/>
          <w:lang w:val="sv-SE"/>
        </w:rPr>
      </w:pPr>
    </w:p>
    <w:p w14:paraId="60EF987A" w14:textId="77777777" w:rsidR="00C83E26" w:rsidRDefault="00C83E26" w:rsidP="00F0525E">
      <w:pPr>
        <w:ind w:right="908"/>
        <w:rPr>
          <w:sz w:val="22"/>
          <w:lang w:val="sv-SE"/>
        </w:rPr>
      </w:pPr>
    </w:p>
    <w:p w14:paraId="62B95FC7" w14:textId="77777777" w:rsidR="00C83E26" w:rsidRDefault="00C83E26" w:rsidP="00F0525E">
      <w:pPr>
        <w:ind w:right="908"/>
        <w:rPr>
          <w:sz w:val="22"/>
          <w:lang w:val="sv-SE"/>
        </w:rPr>
      </w:pPr>
    </w:p>
    <w:p w14:paraId="7C9C3EDD" w14:textId="77777777" w:rsidR="00C83E26" w:rsidRDefault="00C83E26" w:rsidP="00F0525E">
      <w:pPr>
        <w:ind w:right="908"/>
        <w:rPr>
          <w:sz w:val="22"/>
          <w:lang w:val="sv-SE"/>
        </w:rPr>
      </w:pPr>
    </w:p>
    <w:p w14:paraId="1124A1DE" w14:textId="77777777" w:rsidR="00C83E26" w:rsidRDefault="00C83E26" w:rsidP="00F0525E">
      <w:pPr>
        <w:ind w:right="908"/>
        <w:rPr>
          <w:sz w:val="22"/>
          <w:lang w:val="sv-SE"/>
        </w:rPr>
      </w:pPr>
    </w:p>
    <w:p w14:paraId="4562859C" w14:textId="77777777" w:rsidR="00C83E26" w:rsidRDefault="00C83E26" w:rsidP="00F0525E">
      <w:pPr>
        <w:ind w:right="908"/>
        <w:rPr>
          <w:sz w:val="22"/>
          <w:lang w:val="sv-SE"/>
        </w:rPr>
      </w:pPr>
    </w:p>
    <w:p w14:paraId="6FAC81D8" w14:textId="77777777" w:rsidR="00C83E26" w:rsidRDefault="00C83E26" w:rsidP="00F0525E">
      <w:pPr>
        <w:ind w:right="908"/>
        <w:rPr>
          <w:sz w:val="22"/>
          <w:lang w:val="sv-SE"/>
        </w:rPr>
      </w:pPr>
    </w:p>
    <w:p w14:paraId="47FE22F2" w14:textId="77777777" w:rsidR="00C83E26" w:rsidRDefault="00C83E26" w:rsidP="00F0525E">
      <w:pPr>
        <w:ind w:right="908"/>
        <w:rPr>
          <w:sz w:val="22"/>
          <w:lang w:val="sv-SE"/>
        </w:rPr>
      </w:pPr>
    </w:p>
    <w:p w14:paraId="7B8F71E8" w14:textId="77777777" w:rsidR="00C83E26" w:rsidRDefault="00C83E26" w:rsidP="00F0525E">
      <w:pPr>
        <w:ind w:right="908"/>
        <w:rPr>
          <w:sz w:val="22"/>
          <w:lang w:val="sv-SE"/>
        </w:rPr>
      </w:pPr>
    </w:p>
    <w:p w14:paraId="4911C2DF" w14:textId="77777777" w:rsidR="00C83E26" w:rsidRDefault="00C83E26" w:rsidP="00F0525E">
      <w:pPr>
        <w:ind w:right="908"/>
        <w:rPr>
          <w:sz w:val="22"/>
          <w:lang w:val="sv-SE"/>
        </w:rPr>
      </w:pPr>
    </w:p>
    <w:p w14:paraId="496DCCF0" w14:textId="77777777" w:rsidR="00C83E26" w:rsidRDefault="00C83E26" w:rsidP="00F0525E">
      <w:pPr>
        <w:ind w:right="908"/>
        <w:rPr>
          <w:sz w:val="22"/>
          <w:lang w:val="sv-SE"/>
        </w:rPr>
      </w:pPr>
    </w:p>
    <w:p w14:paraId="145BEA8F" w14:textId="77777777" w:rsidR="00C83E26" w:rsidRDefault="00C83E26" w:rsidP="00F0525E">
      <w:pPr>
        <w:ind w:right="908"/>
        <w:rPr>
          <w:sz w:val="22"/>
          <w:lang w:val="sv-SE"/>
        </w:rPr>
      </w:pPr>
    </w:p>
    <w:p w14:paraId="25421B7C" w14:textId="77777777" w:rsidR="00C83E26" w:rsidRDefault="00C83E26" w:rsidP="00F0525E">
      <w:pPr>
        <w:ind w:right="908"/>
        <w:rPr>
          <w:sz w:val="22"/>
          <w:lang w:val="sv-SE"/>
        </w:rPr>
      </w:pPr>
    </w:p>
    <w:p w14:paraId="74252BFA" w14:textId="77777777" w:rsidR="00C83E26" w:rsidRDefault="00C83E26" w:rsidP="00F0525E">
      <w:pPr>
        <w:ind w:right="908"/>
        <w:rPr>
          <w:sz w:val="22"/>
          <w:lang w:val="sv-SE"/>
        </w:rPr>
      </w:pPr>
    </w:p>
    <w:p w14:paraId="5114FE0B" w14:textId="77777777" w:rsidR="00C83E26" w:rsidRDefault="00C83E26" w:rsidP="00F0525E">
      <w:pPr>
        <w:ind w:right="908"/>
        <w:rPr>
          <w:sz w:val="22"/>
          <w:lang w:val="sv-SE"/>
        </w:rPr>
      </w:pPr>
    </w:p>
    <w:p w14:paraId="2D62DF50" w14:textId="77777777" w:rsidR="00C83E26" w:rsidRDefault="00C83E26" w:rsidP="00F0525E">
      <w:pPr>
        <w:ind w:right="908"/>
        <w:rPr>
          <w:sz w:val="22"/>
          <w:lang w:val="sv-SE"/>
        </w:rPr>
      </w:pPr>
    </w:p>
    <w:p w14:paraId="451DC871" w14:textId="77777777" w:rsidR="00C83E26" w:rsidRDefault="00C83E26" w:rsidP="00F0525E">
      <w:pPr>
        <w:ind w:right="908"/>
        <w:rPr>
          <w:sz w:val="22"/>
          <w:lang w:val="sv-SE"/>
        </w:rPr>
      </w:pPr>
    </w:p>
    <w:p w14:paraId="229F82BA" w14:textId="77777777" w:rsidR="00C83E26" w:rsidRDefault="00C83E26" w:rsidP="00F0525E">
      <w:pPr>
        <w:ind w:right="908"/>
        <w:rPr>
          <w:sz w:val="22"/>
          <w:lang w:val="sv-SE"/>
        </w:rPr>
      </w:pPr>
    </w:p>
    <w:p w14:paraId="5C66CDB8" w14:textId="77777777" w:rsidR="00C83E26" w:rsidRDefault="00C83E26" w:rsidP="00F0525E">
      <w:pPr>
        <w:ind w:right="908"/>
        <w:rPr>
          <w:sz w:val="22"/>
          <w:lang w:val="sv-SE"/>
        </w:rPr>
      </w:pPr>
    </w:p>
    <w:p w14:paraId="6EEEF5DD" w14:textId="77777777" w:rsidR="00C83E26" w:rsidRDefault="00C83E26" w:rsidP="00F0525E">
      <w:pPr>
        <w:ind w:right="908"/>
        <w:rPr>
          <w:sz w:val="22"/>
          <w:lang w:val="sv-SE"/>
        </w:rPr>
      </w:pPr>
    </w:p>
    <w:p w14:paraId="605B204F" w14:textId="77777777" w:rsidR="00C83E26" w:rsidRDefault="00C83E26" w:rsidP="00F0525E">
      <w:pPr>
        <w:ind w:right="908"/>
        <w:rPr>
          <w:sz w:val="22"/>
          <w:lang w:val="sv-SE"/>
        </w:rPr>
      </w:pPr>
    </w:p>
    <w:p w14:paraId="22F36ED0" w14:textId="77777777" w:rsidR="00C83E26" w:rsidRDefault="00C83E26" w:rsidP="00F0525E">
      <w:pPr>
        <w:ind w:right="908"/>
        <w:rPr>
          <w:sz w:val="22"/>
          <w:lang w:val="sv-SE"/>
        </w:rPr>
      </w:pPr>
    </w:p>
    <w:p w14:paraId="6FEEDB8E" w14:textId="77777777" w:rsidR="00C83E26" w:rsidRDefault="00C83E26" w:rsidP="00F0525E">
      <w:pPr>
        <w:ind w:right="908"/>
        <w:rPr>
          <w:sz w:val="22"/>
          <w:lang w:val="sv-SE"/>
        </w:rPr>
      </w:pPr>
    </w:p>
    <w:p w14:paraId="3969C70E" w14:textId="77777777" w:rsidR="00C83E26" w:rsidRDefault="00C83E26" w:rsidP="00F0525E">
      <w:pPr>
        <w:ind w:right="908"/>
        <w:rPr>
          <w:sz w:val="22"/>
          <w:lang w:val="sv-SE"/>
        </w:rPr>
      </w:pPr>
    </w:p>
    <w:p w14:paraId="2A06304A" w14:textId="77777777" w:rsidR="00C83E26" w:rsidRDefault="00C83E26" w:rsidP="00F0525E">
      <w:pPr>
        <w:ind w:right="908"/>
        <w:rPr>
          <w:sz w:val="22"/>
          <w:lang w:val="sv-SE"/>
        </w:rPr>
      </w:pPr>
    </w:p>
    <w:p w14:paraId="4A77564E" w14:textId="77777777" w:rsidR="00C83E26" w:rsidRDefault="00C83E26" w:rsidP="00F0525E">
      <w:pPr>
        <w:ind w:right="908"/>
        <w:rPr>
          <w:sz w:val="22"/>
          <w:lang w:val="sv-SE"/>
        </w:rPr>
      </w:pPr>
    </w:p>
    <w:p w14:paraId="5F36DCDB" w14:textId="77777777" w:rsidR="00C83E26" w:rsidRDefault="00C83E26" w:rsidP="00F0525E">
      <w:pPr>
        <w:ind w:right="908"/>
        <w:rPr>
          <w:sz w:val="22"/>
          <w:lang w:val="sv-SE"/>
        </w:rPr>
      </w:pPr>
    </w:p>
    <w:p w14:paraId="56C39453" w14:textId="77777777" w:rsidR="00C83E26" w:rsidRDefault="00C83E26" w:rsidP="00F0525E">
      <w:pPr>
        <w:ind w:right="908"/>
        <w:rPr>
          <w:sz w:val="22"/>
          <w:lang w:val="sv-SE"/>
        </w:rPr>
      </w:pPr>
    </w:p>
    <w:p w14:paraId="281E1B08" w14:textId="77777777" w:rsidR="00C83E26" w:rsidRDefault="00C83E26" w:rsidP="00F0525E">
      <w:pPr>
        <w:ind w:right="908"/>
        <w:rPr>
          <w:sz w:val="22"/>
          <w:lang w:val="sv-SE"/>
        </w:rPr>
      </w:pPr>
    </w:p>
    <w:p w14:paraId="25FFC472" w14:textId="77777777" w:rsidR="00C83E26" w:rsidRDefault="00C83E26" w:rsidP="00F0525E">
      <w:pPr>
        <w:ind w:right="908"/>
        <w:rPr>
          <w:sz w:val="22"/>
          <w:lang w:val="sv-SE"/>
        </w:rPr>
      </w:pPr>
    </w:p>
    <w:p w14:paraId="60200847" w14:textId="77777777" w:rsidR="00C83E26" w:rsidRDefault="00C83E26" w:rsidP="00F0525E">
      <w:pPr>
        <w:ind w:right="908"/>
        <w:rPr>
          <w:sz w:val="22"/>
          <w:lang w:val="sv-SE"/>
        </w:rPr>
      </w:pPr>
    </w:p>
    <w:p w14:paraId="47EA74D8" w14:textId="77777777" w:rsidR="00C83E26" w:rsidRDefault="00C83E26" w:rsidP="00F0525E">
      <w:pPr>
        <w:ind w:right="908"/>
        <w:rPr>
          <w:sz w:val="22"/>
          <w:lang w:val="sv-SE"/>
        </w:rPr>
      </w:pPr>
    </w:p>
    <w:p w14:paraId="08914F46" w14:textId="77777777" w:rsidR="00363D58" w:rsidRDefault="00363D58" w:rsidP="00F0525E">
      <w:pPr>
        <w:ind w:right="908"/>
        <w:rPr>
          <w:sz w:val="22"/>
          <w:lang w:val="sv-SE"/>
        </w:rPr>
      </w:pPr>
    </w:p>
    <w:p w14:paraId="499AEAE0" w14:textId="77777777" w:rsidR="00FD7927" w:rsidRDefault="00FD7927" w:rsidP="00F0525E">
      <w:pPr>
        <w:ind w:right="908"/>
        <w:rPr>
          <w:sz w:val="22"/>
          <w:lang w:val="sv-SE"/>
        </w:rPr>
      </w:pPr>
    </w:p>
    <w:p w14:paraId="573160ED" w14:textId="77777777" w:rsidR="00F728C7" w:rsidRDefault="00F728C7" w:rsidP="00F0525E">
      <w:pPr>
        <w:ind w:right="908"/>
        <w:rPr>
          <w:sz w:val="22"/>
          <w:lang w:val="sv-SE"/>
        </w:rPr>
      </w:pPr>
    </w:p>
    <w:p w14:paraId="1C603DDD" w14:textId="77777777" w:rsidR="004D4CBC" w:rsidRDefault="004D4CBC" w:rsidP="00F0525E">
      <w:pPr>
        <w:ind w:right="908"/>
        <w:rPr>
          <w:sz w:val="22"/>
          <w:lang w:val="sv-SE"/>
        </w:rPr>
      </w:pPr>
    </w:p>
    <w:p w14:paraId="333211FD" w14:textId="77777777" w:rsidR="004D4CBC" w:rsidRDefault="004D4CBC" w:rsidP="00F0525E">
      <w:pPr>
        <w:ind w:right="908"/>
        <w:rPr>
          <w:sz w:val="22"/>
          <w:lang w:val="sv-SE"/>
        </w:rPr>
      </w:pPr>
    </w:p>
    <w:p w14:paraId="22E8F46C" w14:textId="77777777" w:rsidR="00C83E26" w:rsidRDefault="00C83E26" w:rsidP="00F0525E">
      <w:pPr>
        <w:ind w:right="908"/>
        <w:rPr>
          <w:sz w:val="22"/>
          <w:lang w:val="sv-SE"/>
        </w:rPr>
      </w:pPr>
    </w:p>
    <w:p w14:paraId="5DF5A115" w14:textId="77777777" w:rsidR="00C83E26" w:rsidRDefault="00C83E26" w:rsidP="00F0525E">
      <w:pPr>
        <w:ind w:right="908"/>
        <w:rPr>
          <w:sz w:val="22"/>
          <w:lang w:val="sv-SE"/>
        </w:rPr>
      </w:pPr>
      <w:r>
        <w:rPr>
          <w:sz w:val="22"/>
          <w:lang w:val="sv-SE"/>
        </w:rPr>
        <w:lastRenderedPageBreak/>
        <w:t>Bilaga 2</w:t>
      </w:r>
    </w:p>
    <w:p w14:paraId="33319844" w14:textId="77777777" w:rsidR="009105EA" w:rsidRPr="009105EA" w:rsidRDefault="009105EA" w:rsidP="009105EA">
      <w:pPr>
        <w:tabs>
          <w:tab w:val="left" w:pos="1304"/>
          <w:tab w:val="left" w:pos="2608"/>
          <w:tab w:val="left" w:pos="3912"/>
          <w:tab w:val="left" w:pos="5216"/>
          <w:tab w:val="left" w:pos="6521"/>
        </w:tabs>
        <w:rPr>
          <w:rFonts w:ascii="Sabon" w:hAnsi="Sabon"/>
          <w:i/>
          <w:sz w:val="22"/>
          <w:szCs w:val="22"/>
          <w:lang w:val="sv-SE"/>
        </w:rPr>
      </w:pPr>
      <w:r w:rsidRPr="009105EA">
        <w:rPr>
          <w:rFonts w:ascii="Sabon" w:hAnsi="Sabon"/>
          <w:i/>
          <w:sz w:val="22"/>
          <w:szCs w:val="22"/>
          <w:lang w:val="sv-SE"/>
        </w:rPr>
        <w:t>Instruktioner för provtagning, analysering och informationsinsamling</w:t>
      </w:r>
    </w:p>
    <w:p w14:paraId="10AB494A" w14:textId="77777777" w:rsidR="009105EA" w:rsidRPr="009105EA" w:rsidRDefault="009105EA" w:rsidP="009105EA">
      <w:pPr>
        <w:numPr>
          <w:ilvl w:val="0"/>
          <w:numId w:val="5"/>
        </w:numPr>
        <w:tabs>
          <w:tab w:val="left" w:pos="1304"/>
          <w:tab w:val="left" w:pos="2608"/>
          <w:tab w:val="left" w:pos="3912"/>
          <w:tab w:val="left" w:pos="5216"/>
          <w:tab w:val="left" w:pos="6521"/>
        </w:tabs>
        <w:contextualSpacing/>
        <w:rPr>
          <w:rFonts w:ascii="Sabon" w:hAnsi="Sabon"/>
          <w:sz w:val="22"/>
          <w:szCs w:val="22"/>
          <w:lang w:val="sv-SE"/>
        </w:rPr>
      </w:pPr>
      <w:r w:rsidRPr="009105EA">
        <w:rPr>
          <w:rFonts w:ascii="Sabon" w:hAnsi="Sabon"/>
          <w:sz w:val="22"/>
          <w:szCs w:val="22"/>
          <w:lang w:val="sv-SE"/>
        </w:rPr>
        <w:t>Provet skall vara så representativt som möjligt. Oavsett provtagningsmetod (</w:t>
      </w:r>
      <w:proofErr w:type="spellStart"/>
      <w:r w:rsidRPr="009105EA">
        <w:rPr>
          <w:rFonts w:ascii="Sabon" w:hAnsi="Sabon"/>
          <w:sz w:val="22"/>
          <w:szCs w:val="22"/>
          <w:lang w:val="sv-SE"/>
        </w:rPr>
        <w:t>Rakoraf</w:t>
      </w:r>
      <w:proofErr w:type="spellEnd"/>
      <w:r w:rsidRPr="009105EA">
        <w:rPr>
          <w:rFonts w:ascii="Sabon" w:hAnsi="Sabon"/>
          <w:sz w:val="22"/>
          <w:szCs w:val="22"/>
          <w:lang w:val="sv-SE"/>
        </w:rPr>
        <w:t xml:space="preserve">, spjut, </w:t>
      </w:r>
      <w:proofErr w:type="spellStart"/>
      <w:r w:rsidRPr="009105EA">
        <w:rPr>
          <w:rFonts w:ascii="Sabon" w:hAnsi="Sabon"/>
          <w:sz w:val="22"/>
          <w:szCs w:val="22"/>
          <w:lang w:val="sv-SE"/>
        </w:rPr>
        <w:t>etc</w:t>
      </w:r>
      <w:proofErr w:type="spellEnd"/>
      <w:r w:rsidRPr="009105EA">
        <w:rPr>
          <w:rFonts w:ascii="Sabon" w:hAnsi="Sabon"/>
          <w:sz w:val="22"/>
          <w:szCs w:val="22"/>
          <w:lang w:val="sv-SE"/>
        </w:rPr>
        <w:t>) bör prov bestå av flera delprov ur lasset.</w:t>
      </w:r>
    </w:p>
    <w:p w14:paraId="16275488" w14:textId="77777777" w:rsidR="009105EA" w:rsidRPr="009105EA" w:rsidRDefault="009105EA" w:rsidP="009105EA">
      <w:pPr>
        <w:numPr>
          <w:ilvl w:val="0"/>
          <w:numId w:val="5"/>
        </w:numPr>
        <w:tabs>
          <w:tab w:val="left" w:pos="1304"/>
          <w:tab w:val="left" w:pos="2608"/>
          <w:tab w:val="left" w:pos="3912"/>
          <w:tab w:val="left" w:pos="5216"/>
          <w:tab w:val="left" w:pos="6521"/>
        </w:tabs>
        <w:contextualSpacing/>
        <w:rPr>
          <w:rFonts w:ascii="Sabon" w:hAnsi="Sabon"/>
          <w:sz w:val="22"/>
          <w:szCs w:val="22"/>
          <w:lang w:val="sv-SE"/>
        </w:rPr>
      </w:pPr>
      <w:r w:rsidRPr="009105EA">
        <w:rPr>
          <w:rFonts w:ascii="Sabon" w:hAnsi="Sabon"/>
          <w:sz w:val="22"/>
          <w:szCs w:val="22"/>
          <w:lang w:val="sv-SE"/>
        </w:rPr>
        <w:t xml:space="preserve">Analysmetod bestäms av det enskilda företaget. Om snabbmetod används rekommenderas att, om möjligt, använda metoder som ger analyssvar ner till 50 </w:t>
      </w:r>
      <w:proofErr w:type="spellStart"/>
      <w:r w:rsidRPr="009105EA">
        <w:rPr>
          <w:rFonts w:ascii="Sabon" w:hAnsi="Sabon"/>
          <w:sz w:val="22"/>
          <w:szCs w:val="22"/>
          <w:lang w:val="sv-SE"/>
        </w:rPr>
        <w:t>ppb</w:t>
      </w:r>
      <w:proofErr w:type="spellEnd"/>
      <w:r w:rsidRPr="009105EA">
        <w:rPr>
          <w:rFonts w:ascii="Sabon" w:hAnsi="Sabon"/>
          <w:sz w:val="22"/>
          <w:szCs w:val="22"/>
          <w:lang w:val="sv-SE"/>
        </w:rPr>
        <w:t xml:space="preserve">. </w:t>
      </w:r>
    </w:p>
    <w:p w14:paraId="7DE2A52B" w14:textId="77777777" w:rsidR="009105EA" w:rsidRPr="009105EA" w:rsidRDefault="009105EA" w:rsidP="009105EA">
      <w:pPr>
        <w:numPr>
          <w:ilvl w:val="0"/>
          <w:numId w:val="5"/>
        </w:numPr>
        <w:tabs>
          <w:tab w:val="left" w:pos="1304"/>
          <w:tab w:val="left" w:pos="2608"/>
          <w:tab w:val="left" w:pos="3912"/>
          <w:tab w:val="left" w:pos="5216"/>
          <w:tab w:val="left" w:pos="6521"/>
        </w:tabs>
        <w:contextualSpacing/>
        <w:rPr>
          <w:rFonts w:ascii="Sabon" w:hAnsi="Sabon"/>
          <w:sz w:val="22"/>
          <w:szCs w:val="22"/>
          <w:lang w:val="sv-SE"/>
        </w:rPr>
      </w:pPr>
      <w:r w:rsidRPr="009105EA">
        <w:rPr>
          <w:rFonts w:ascii="Sabon" w:hAnsi="Sabon"/>
          <w:sz w:val="22"/>
          <w:szCs w:val="22"/>
          <w:lang w:val="sv-SE"/>
        </w:rPr>
        <w:t xml:space="preserve">Analyssvaren skickas i </w:t>
      </w:r>
      <w:proofErr w:type="spellStart"/>
      <w:r w:rsidRPr="009105EA">
        <w:rPr>
          <w:rFonts w:ascii="Sabon" w:hAnsi="Sabon"/>
          <w:sz w:val="22"/>
          <w:szCs w:val="22"/>
          <w:lang w:val="sv-SE"/>
        </w:rPr>
        <w:t>excel</w:t>
      </w:r>
      <w:r>
        <w:rPr>
          <w:rFonts w:ascii="Sabon" w:hAnsi="Sabon"/>
          <w:sz w:val="22"/>
          <w:szCs w:val="22"/>
          <w:lang w:val="sv-SE"/>
        </w:rPr>
        <w:t>mall</w:t>
      </w:r>
      <w:proofErr w:type="spellEnd"/>
      <w:r w:rsidRPr="009105EA">
        <w:rPr>
          <w:rFonts w:ascii="Sabon" w:hAnsi="Sabon"/>
          <w:sz w:val="22"/>
          <w:szCs w:val="22"/>
          <w:lang w:val="sv-SE"/>
        </w:rPr>
        <w:t xml:space="preserve"> till </w:t>
      </w:r>
      <w:r>
        <w:rPr>
          <w:rFonts w:ascii="Sabon" w:hAnsi="Sabon"/>
          <w:sz w:val="22"/>
          <w:szCs w:val="22"/>
          <w:lang w:val="sv-SE"/>
        </w:rPr>
        <w:t>projektledaren</w:t>
      </w:r>
      <w:r w:rsidRPr="009105EA">
        <w:rPr>
          <w:rFonts w:ascii="Sabon" w:hAnsi="Sabon"/>
          <w:sz w:val="22"/>
          <w:szCs w:val="22"/>
          <w:lang w:val="sv-SE"/>
        </w:rPr>
        <w:t xml:space="preserve">. Svaren skickas in veckovis </w:t>
      </w:r>
      <w:r w:rsidRPr="009105EA">
        <w:rPr>
          <w:rFonts w:ascii="Sabon" w:hAnsi="Sabon"/>
          <w:i/>
          <w:sz w:val="22"/>
          <w:szCs w:val="22"/>
          <w:lang w:val="sv-SE"/>
        </w:rPr>
        <w:t>senast</w:t>
      </w:r>
      <w:r w:rsidRPr="009105EA">
        <w:rPr>
          <w:rFonts w:ascii="Sabon" w:hAnsi="Sabon"/>
          <w:sz w:val="22"/>
          <w:szCs w:val="22"/>
          <w:lang w:val="sv-SE"/>
        </w:rPr>
        <w:t xml:space="preserve"> vid lunchtid på tisdagar när skördeperiod</w:t>
      </w:r>
      <w:r>
        <w:rPr>
          <w:rFonts w:ascii="Sabon" w:hAnsi="Sabon"/>
          <w:sz w:val="22"/>
          <w:szCs w:val="22"/>
          <w:lang w:val="sv-SE"/>
        </w:rPr>
        <w:t>en är igång. Detta eftersom projekt</w:t>
      </w:r>
      <w:r w:rsidRPr="009105EA">
        <w:rPr>
          <w:rFonts w:ascii="Sabon" w:hAnsi="Sabon"/>
          <w:sz w:val="22"/>
          <w:szCs w:val="22"/>
          <w:lang w:val="sv-SE"/>
        </w:rPr>
        <w:t>gruppen i normalfallet kommer att sammanträda varje onsdagsmorgon under skördeperioden och utifrån detta skicka ut lägesrapporter.</w:t>
      </w:r>
    </w:p>
    <w:p w14:paraId="7AE75290" w14:textId="77777777" w:rsidR="009105EA" w:rsidRPr="009105EA" w:rsidRDefault="009105EA" w:rsidP="009105EA">
      <w:pPr>
        <w:tabs>
          <w:tab w:val="left" w:pos="1304"/>
          <w:tab w:val="left" w:pos="2608"/>
          <w:tab w:val="left" w:pos="3912"/>
          <w:tab w:val="left" w:pos="5216"/>
          <w:tab w:val="left" w:pos="6521"/>
        </w:tabs>
        <w:rPr>
          <w:rFonts w:ascii="Sabon" w:hAnsi="Sabon"/>
          <w:sz w:val="22"/>
          <w:szCs w:val="22"/>
          <w:lang w:val="sv-SE"/>
        </w:rPr>
      </w:pPr>
      <w:r w:rsidRPr="009105EA">
        <w:rPr>
          <w:rFonts w:ascii="Sabon" w:hAnsi="Sabon"/>
          <w:sz w:val="22"/>
          <w:szCs w:val="22"/>
          <w:lang w:val="sv-SE"/>
        </w:rPr>
        <w:t xml:space="preserve">             Följande uppgifter skall fyllas i </w:t>
      </w:r>
      <w:proofErr w:type="spellStart"/>
      <w:r w:rsidRPr="009105EA">
        <w:rPr>
          <w:rFonts w:ascii="Sabon" w:hAnsi="Sabon"/>
          <w:sz w:val="22"/>
          <w:szCs w:val="22"/>
          <w:lang w:val="sv-SE"/>
        </w:rPr>
        <w:t>i</w:t>
      </w:r>
      <w:proofErr w:type="spellEnd"/>
      <w:r w:rsidRPr="009105EA">
        <w:rPr>
          <w:rFonts w:ascii="Sabon" w:hAnsi="Sabon"/>
          <w:sz w:val="22"/>
          <w:szCs w:val="22"/>
          <w:lang w:val="sv-SE"/>
        </w:rPr>
        <w:t xml:space="preserve"> </w:t>
      </w:r>
      <w:proofErr w:type="spellStart"/>
      <w:r w:rsidRPr="009105EA">
        <w:rPr>
          <w:rFonts w:ascii="Sabon" w:hAnsi="Sabon"/>
          <w:sz w:val="22"/>
          <w:szCs w:val="22"/>
          <w:lang w:val="sv-SE"/>
        </w:rPr>
        <w:t>excelmallen</w:t>
      </w:r>
      <w:proofErr w:type="spellEnd"/>
      <w:r w:rsidRPr="009105EA">
        <w:rPr>
          <w:rFonts w:ascii="Sabon" w:hAnsi="Sabon"/>
          <w:sz w:val="22"/>
          <w:szCs w:val="22"/>
          <w:lang w:val="sv-SE"/>
        </w:rPr>
        <w:t>,</w:t>
      </w:r>
    </w:p>
    <w:p w14:paraId="1757468A" w14:textId="77777777" w:rsidR="009105EA" w:rsidRPr="009105EA" w:rsidRDefault="009105EA" w:rsidP="009105EA">
      <w:pPr>
        <w:numPr>
          <w:ilvl w:val="1"/>
          <w:numId w:val="5"/>
        </w:numPr>
        <w:tabs>
          <w:tab w:val="left" w:pos="1304"/>
          <w:tab w:val="left" w:pos="2608"/>
          <w:tab w:val="left" w:pos="3912"/>
          <w:tab w:val="left" w:pos="5216"/>
          <w:tab w:val="left" w:pos="6521"/>
        </w:tabs>
        <w:contextualSpacing/>
        <w:rPr>
          <w:rFonts w:ascii="Sabon" w:hAnsi="Sabon"/>
          <w:sz w:val="22"/>
          <w:szCs w:val="22"/>
          <w:lang w:val="sv-SE"/>
        </w:rPr>
      </w:pPr>
      <w:r w:rsidRPr="009105EA">
        <w:rPr>
          <w:rFonts w:ascii="Sabon" w:hAnsi="Sabon"/>
          <w:sz w:val="22"/>
          <w:szCs w:val="22"/>
          <w:lang w:val="sv-SE"/>
        </w:rPr>
        <w:t xml:space="preserve">Område (Syd, Väst, Öst, </w:t>
      </w:r>
      <w:proofErr w:type="gramStart"/>
      <w:r w:rsidRPr="009105EA">
        <w:rPr>
          <w:rFonts w:ascii="Sabon" w:hAnsi="Sabon"/>
          <w:sz w:val="22"/>
          <w:szCs w:val="22"/>
          <w:lang w:val="sv-SE"/>
        </w:rPr>
        <w:t>Norr)  samt</w:t>
      </w:r>
      <w:proofErr w:type="gramEnd"/>
      <w:r w:rsidRPr="009105EA">
        <w:rPr>
          <w:rFonts w:ascii="Sabon" w:hAnsi="Sabon"/>
          <w:sz w:val="22"/>
          <w:szCs w:val="22"/>
          <w:lang w:val="sv-SE"/>
        </w:rPr>
        <w:t xml:space="preserve"> om möjligt mottagningsplats</w:t>
      </w:r>
    </w:p>
    <w:p w14:paraId="0A39E916" w14:textId="77777777" w:rsidR="009105EA" w:rsidRPr="009105EA" w:rsidRDefault="009105EA" w:rsidP="009105EA">
      <w:pPr>
        <w:numPr>
          <w:ilvl w:val="1"/>
          <w:numId w:val="5"/>
        </w:numPr>
        <w:tabs>
          <w:tab w:val="left" w:pos="1304"/>
          <w:tab w:val="left" w:pos="2608"/>
          <w:tab w:val="left" w:pos="3912"/>
          <w:tab w:val="left" w:pos="5216"/>
          <w:tab w:val="left" w:pos="6521"/>
        </w:tabs>
        <w:contextualSpacing/>
        <w:rPr>
          <w:rFonts w:ascii="Sabon" w:hAnsi="Sabon"/>
          <w:sz w:val="22"/>
          <w:szCs w:val="22"/>
          <w:lang w:val="sv-SE"/>
        </w:rPr>
      </w:pPr>
      <w:proofErr w:type="spellStart"/>
      <w:r w:rsidRPr="009105EA">
        <w:rPr>
          <w:rFonts w:ascii="Sabon" w:hAnsi="Sabon"/>
          <w:sz w:val="22"/>
          <w:szCs w:val="22"/>
          <w:lang w:val="sv-SE"/>
        </w:rPr>
        <w:t>Spannmålsslag</w:t>
      </w:r>
      <w:proofErr w:type="spellEnd"/>
    </w:p>
    <w:p w14:paraId="6AAFB95F" w14:textId="77777777" w:rsidR="009105EA" w:rsidRPr="009105EA" w:rsidRDefault="009105EA" w:rsidP="009105EA">
      <w:pPr>
        <w:numPr>
          <w:ilvl w:val="1"/>
          <w:numId w:val="5"/>
        </w:numPr>
        <w:tabs>
          <w:tab w:val="left" w:pos="1304"/>
          <w:tab w:val="left" w:pos="2608"/>
          <w:tab w:val="left" w:pos="3912"/>
          <w:tab w:val="left" w:pos="5216"/>
          <w:tab w:val="left" w:pos="6521"/>
        </w:tabs>
        <w:contextualSpacing/>
        <w:rPr>
          <w:rFonts w:ascii="Sabon" w:hAnsi="Sabon"/>
          <w:sz w:val="22"/>
          <w:szCs w:val="22"/>
          <w:lang w:val="sv-SE"/>
        </w:rPr>
      </w:pPr>
      <w:r w:rsidRPr="009105EA">
        <w:rPr>
          <w:rFonts w:ascii="Sabon" w:hAnsi="Sabon"/>
          <w:sz w:val="22"/>
          <w:szCs w:val="22"/>
          <w:lang w:val="sv-SE"/>
        </w:rPr>
        <w:t>Typ av analys (DON, T-2/HT-2, ZEA)</w:t>
      </w:r>
    </w:p>
    <w:p w14:paraId="72675D2E" w14:textId="77777777" w:rsidR="009105EA" w:rsidRPr="009105EA" w:rsidRDefault="009105EA" w:rsidP="009105EA">
      <w:pPr>
        <w:numPr>
          <w:ilvl w:val="1"/>
          <w:numId w:val="5"/>
        </w:numPr>
        <w:tabs>
          <w:tab w:val="left" w:pos="1304"/>
          <w:tab w:val="left" w:pos="2608"/>
          <w:tab w:val="left" w:pos="3912"/>
          <w:tab w:val="left" w:pos="5216"/>
          <w:tab w:val="left" w:pos="6521"/>
        </w:tabs>
        <w:contextualSpacing/>
        <w:rPr>
          <w:rFonts w:ascii="Sabon" w:hAnsi="Sabon"/>
          <w:sz w:val="22"/>
          <w:szCs w:val="22"/>
          <w:lang w:val="sv-SE"/>
        </w:rPr>
      </w:pPr>
      <w:r w:rsidRPr="009105EA">
        <w:rPr>
          <w:rFonts w:ascii="Sabon" w:hAnsi="Sabon"/>
          <w:sz w:val="22"/>
          <w:szCs w:val="22"/>
          <w:lang w:val="sv-SE"/>
        </w:rPr>
        <w:t>Vecka då proverna togs</w:t>
      </w:r>
    </w:p>
    <w:p w14:paraId="026EAE97" w14:textId="77777777" w:rsidR="009105EA" w:rsidRPr="009105EA" w:rsidRDefault="009105EA" w:rsidP="009105EA">
      <w:pPr>
        <w:numPr>
          <w:ilvl w:val="1"/>
          <w:numId w:val="5"/>
        </w:numPr>
        <w:tabs>
          <w:tab w:val="left" w:pos="1304"/>
          <w:tab w:val="left" w:pos="2608"/>
          <w:tab w:val="left" w:pos="3912"/>
          <w:tab w:val="left" w:pos="5216"/>
          <w:tab w:val="left" w:pos="6521"/>
        </w:tabs>
        <w:contextualSpacing/>
        <w:rPr>
          <w:rFonts w:ascii="Sabon" w:hAnsi="Sabon"/>
          <w:sz w:val="22"/>
          <w:szCs w:val="22"/>
          <w:lang w:val="sv-SE"/>
        </w:rPr>
      </w:pPr>
      <w:r w:rsidRPr="009105EA">
        <w:rPr>
          <w:rFonts w:ascii="Sabon" w:hAnsi="Sabon"/>
          <w:sz w:val="22"/>
          <w:szCs w:val="22"/>
          <w:lang w:val="sv-SE"/>
        </w:rPr>
        <w:t>Antal analyser</w:t>
      </w:r>
    </w:p>
    <w:p w14:paraId="6B2C9A83" w14:textId="77777777" w:rsidR="009105EA" w:rsidRPr="009105EA" w:rsidRDefault="009105EA" w:rsidP="009105EA">
      <w:pPr>
        <w:numPr>
          <w:ilvl w:val="1"/>
          <w:numId w:val="5"/>
        </w:numPr>
        <w:tabs>
          <w:tab w:val="left" w:pos="1304"/>
          <w:tab w:val="left" w:pos="2608"/>
          <w:tab w:val="left" w:pos="3912"/>
          <w:tab w:val="left" w:pos="5216"/>
          <w:tab w:val="left" w:pos="6521"/>
        </w:tabs>
        <w:contextualSpacing/>
        <w:rPr>
          <w:rFonts w:ascii="Sabon" w:hAnsi="Sabon"/>
          <w:sz w:val="22"/>
          <w:szCs w:val="22"/>
          <w:lang w:val="sv-SE"/>
        </w:rPr>
      </w:pPr>
      <w:r w:rsidRPr="009105EA">
        <w:rPr>
          <w:rFonts w:ascii="Sabon" w:hAnsi="Sabon"/>
          <w:sz w:val="22"/>
          <w:szCs w:val="22"/>
          <w:lang w:val="sv-SE"/>
        </w:rPr>
        <w:t xml:space="preserve">Antal resultat över gränsvärdet (1750 för havre, 1250 för övriga </w:t>
      </w:r>
      <w:proofErr w:type="spellStart"/>
      <w:r w:rsidRPr="009105EA">
        <w:rPr>
          <w:rFonts w:ascii="Sabon" w:hAnsi="Sabon"/>
          <w:sz w:val="22"/>
          <w:szCs w:val="22"/>
          <w:lang w:val="sv-SE"/>
        </w:rPr>
        <w:t>spannmålsslag</w:t>
      </w:r>
      <w:proofErr w:type="spellEnd"/>
      <w:r w:rsidRPr="009105EA">
        <w:rPr>
          <w:rFonts w:ascii="Sabon" w:hAnsi="Sabon"/>
          <w:sz w:val="22"/>
          <w:szCs w:val="22"/>
          <w:lang w:val="sv-SE"/>
        </w:rPr>
        <w:t>)</w:t>
      </w:r>
    </w:p>
    <w:p w14:paraId="2930949F" w14:textId="77777777" w:rsidR="009105EA" w:rsidRPr="009105EA" w:rsidRDefault="009105EA" w:rsidP="009105EA">
      <w:pPr>
        <w:numPr>
          <w:ilvl w:val="1"/>
          <w:numId w:val="5"/>
        </w:numPr>
        <w:tabs>
          <w:tab w:val="left" w:pos="1304"/>
          <w:tab w:val="left" w:pos="2608"/>
          <w:tab w:val="left" w:pos="3912"/>
          <w:tab w:val="left" w:pos="5216"/>
          <w:tab w:val="left" w:pos="6521"/>
        </w:tabs>
        <w:contextualSpacing/>
        <w:rPr>
          <w:rFonts w:ascii="Sabon" w:hAnsi="Sabon"/>
          <w:sz w:val="22"/>
          <w:szCs w:val="22"/>
          <w:lang w:val="sv-SE"/>
        </w:rPr>
      </w:pPr>
      <w:r w:rsidRPr="009105EA">
        <w:rPr>
          <w:rFonts w:ascii="Sabon" w:hAnsi="Sabon"/>
          <w:sz w:val="22"/>
          <w:szCs w:val="22"/>
          <w:lang w:val="sv-SE"/>
        </w:rPr>
        <w:t>Medelvärde</w:t>
      </w:r>
    </w:p>
    <w:p w14:paraId="47C25A13" w14:textId="77777777" w:rsidR="009105EA" w:rsidRPr="009105EA" w:rsidRDefault="009105EA" w:rsidP="009105EA">
      <w:pPr>
        <w:numPr>
          <w:ilvl w:val="1"/>
          <w:numId w:val="5"/>
        </w:numPr>
        <w:tabs>
          <w:tab w:val="left" w:pos="1304"/>
          <w:tab w:val="left" w:pos="2608"/>
          <w:tab w:val="left" w:pos="3912"/>
          <w:tab w:val="left" w:pos="5216"/>
          <w:tab w:val="left" w:pos="6521"/>
        </w:tabs>
        <w:contextualSpacing/>
        <w:rPr>
          <w:rFonts w:ascii="Sabon" w:hAnsi="Sabon"/>
          <w:sz w:val="22"/>
          <w:szCs w:val="22"/>
          <w:lang w:val="sv-SE"/>
        </w:rPr>
      </w:pPr>
      <w:r w:rsidRPr="009105EA">
        <w:rPr>
          <w:rFonts w:ascii="Sabon" w:hAnsi="Sabon"/>
          <w:sz w:val="22"/>
          <w:szCs w:val="22"/>
          <w:lang w:val="sv-SE"/>
        </w:rPr>
        <w:t>Toppvärde</w:t>
      </w:r>
    </w:p>
    <w:p w14:paraId="06065B3B" w14:textId="77777777" w:rsidR="009105EA" w:rsidRPr="009105EA" w:rsidRDefault="009105EA" w:rsidP="009105EA">
      <w:pPr>
        <w:numPr>
          <w:ilvl w:val="1"/>
          <w:numId w:val="5"/>
        </w:numPr>
        <w:tabs>
          <w:tab w:val="left" w:pos="1304"/>
          <w:tab w:val="left" w:pos="2608"/>
          <w:tab w:val="left" w:pos="3912"/>
          <w:tab w:val="left" w:pos="5216"/>
          <w:tab w:val="left" w:pos="6521"/>
        </w:tabs>
        <w:contextualSpacing/>
        <w:rPr>
          <w:rFonts w:ascii="Sabon" w:hAnsi="Sabon"/>
          <w:sz w:val="22"/>
          <w:szCs w:val="22"/>
          <w:lang w:val="sv-SE"/>
        </w:rPr>
      </w:pPr>
      <w:proofErr w:type="spellStart"/>
      <w:r w:rsidRPr="009105EA">
        <w:rPr>
          <w:rFonts w:ascii="Sabon" w:hAnsi="Sabon"/>
          <w:sz w:val="22"/>
          <w:szCs w:val="22"/>
          <w:lang w:val="sv-SE"/>
        </w:rPr>
        <w:t>Ev</w:t>
      </w:r>
      <w:proofErr w:type="spellEnd"/>
      <w:r w:rsidRPr="009105EA">
        <w:rPr>
          <w:rFonts w:ascii="Sabon" w:hAnsi="Sabon"/>
          <w:sz w:val="22"/>
          <w:szCs w:val="22"/>
          <w:lang w:val="sv-SE"/>
        </w:rPr>
        <w:t xml:space="preserve"> kommentar</w:t>
      </w:r>
    </w:p>
    <w:p w14:paraId="3CE68F1F" w14:textId="77777777" w:rsidR="009105EA" w:rsidRPr="009105EA" w:rsidRDefault="009105EA" w:rsidP="009105EA">
      <w:pPr>
        <w:numPr>
          <w:ilvl w:val="1"/>
          <w:numId w:val="5"/>
        </w:numPr>
        <w:tabs>
          <w:tab w:val="left" w:pos="1304"/>
          <w:tab w:val="left" w:pos="2608"/>
          <w:tab w:val="left" w:pos="3912"/>
          <w:tab w:val="left" w:pos="5216"/>
          <w:tab w:val="left" w:pos="6521"/>
        </w:tabs>
        <w:contextualSpacing/>
        <w:rPr>
          <w:rFonts w:ascii="Sabon" w:hAnsi="Sabon"/>
          <w:sz w:val="22"/>
          <w:szCs w:val="22"/>
          <w:lang w:val="sv-SE"/>
        </w:rPr>
      </w:pPr>
      <w:r w:rsidRPr="009105EA">
        <w:rPr>
          <w:rFonts w:ascii="Sabon" w:hAnsi="Sabon"/>
          <w:sz w:val="22"/>
          <w:szCs w:val="22"/>
          <w:lang w:val="sv-SE"/>
        </w:rPr>
        <w:t>Rapporterande företag</w:t>
      </w:r>
    </w:p>
    <w:p w14:paraId="740D63F0" w14:textId="77777777" w:rsidR="009105EA" w:rsidRPr="009105EA" w:rsidRDefault="009105EA" w:rsidP="009105EA">
      <w:pPr>
        <w:tabs>
          <w:tab w:val="left" w:pos="1304"/>
          <w:tab w:val="left" w:pos="2608"/>
          <w:tab w:val="left" w:pos="3912"/>
          <w:tab w:val="left" w:pos="5216"/>
          <w:tab w:val="left" w:pos="6521"/>
        </w:tabs>
        <w:ind w:left="720"/>
        <w:contextualSpacing/>
        <w:rPr>
          <w:rFonts w:ascii="Sabon" w:hAnsi="Sabon"/>
          <w:sz w:val="22"/>
          <w:szCs w:val="22"/>
          <w:lang w:val="sv-SE"/>
        </w:rPr>
      </w:pPr>
    </w:p>
    <w:p w14:paraId="40BFD98F" w14:textId="77777777" w:rsidR="00D91A96" w:rsidRDefault="00D91A96" w:rsidP="009105EA">
      <w:pPr>
        <w:tabs>
          <w:tab w:val="left" w:pos="1304"/>
          <w:tab w:val="left" w:pos="2608"/>
          <w:tab w:val="left" w:pos="3912"/>
          <w:tab w:val="left" w:pos="5216"/>
          <w:tab w:val="left" w:pos="6521"/>
        </w:tabs>
        <w:contextualSpacing/>
        <w:rPr>
          <w:rFonts w:ascii="Sabon" w:hAnsi="Sabon"/>
          <w:sz w:val="22"/>
          <w:szCs w:val="22"/>
          <w:lang w:val="sv-SE"/>
        </w:rPr>
      </w:pPr>
    </w:p>
    <w:p w14:paraId="1B0A2808" w14:textId="77777777" w:rsidR="009105EA" w:rsidRDefault="009105EA" w:rsidP="009105EA">
      <w:pPr>
        <w:tabs>
          <w:tab w:val="left" w:pos="1304"/>
          <w:tab w:val="left" w:pos="2608"/>
          <w:tab w:val="left" w:pos="3912"/>
          <w:tab w:val="left" w:pos="5216"/>
          <w:tab w:val="left" w:pos="6521"/>
        </w:tabs>
        <w:contextualSpacing/>
        <w:rPr>
          <w:rFonts w:ascii="Sabon" w:hAnsi="Sabon"/>
          <w:sz w:val="22"/>
          <w:szCs w:val="22"/>
          <w:lang w:val="sv-SE"/>
        </w:rPr>
      </w:pPr>
    </w:p>
    <w:p w14:paraId="6FAE6FA7" w14:textId="77777777" w:rsidR="009105EA" w:rsidRDefault="009105EA" w:rsidP="009105EA">
      <w:pPr>
        <w:tabs>
          <w:tab w:val="left" w:pos="1304"/>
          <w:tab w:val="left" w:pos="2608"/>
          <w:tab w:val="left" w:pos="3912"/>
          <w:tab w:val="left" w:pos="5216"/>
          <w:tab w:val="left" w:pos="6521"/>
        </w:tabs>
        <w:contextualSpacing/>
        <w:rPr>
          <w:rFonts w:ascii="Sabon" w:hAnsi="Sabon"/>
          <w:sz w:val="22"/>
          <w:szCs w:val="22"/>
          <w:lang w:val="sv-SE"/>
        </w:rPr>
      </w:pPr>
    </w:p>
    <w:p w14:paraId="11FE5514" w14:textId="77777777" w:rsidR="009105EA" w:rsidRDefault="009105EA" w:rsidP="009105EA">
      <w:pPr>
        <w:tabs>
          <w:tab w:val="left" w:pos="1304"/>
          <w:tab w:val="left" w:pos="2608"/>
          <w:tab w:val="left" w:pos="3912"/>
          <w:tab w:val="left" w:pos="5216"/>
          <w:tab w:val="left" w:pos="6521"/>
        </w:tabs>
        <w:contextualSpacing/>
        <w:rPr>
          <w:rFonts w:ascii="Sabon" w:hAnsi="Sabon"/>
          <w:sz w:val="22"/>
          <w:szCs w:val="22"/>
          <w:lang w:val="sv-SE"/>
        </w:rPr>
      </w:pPr>
    </w:p>
    <w:p w14:paraId="65129A09" w14:textId="77777777" w:rsidR="009105EA" w:rsidRDefault="009105EA" w:rsidP="009105EA">
      <w:pPr>
        <w:tabs>
          <w:tab w:val="left" w:pos="1304"/>
          <w:tab w:val="left" w:pos="2608"/>
          <w:tab w:val="left" w:pos="3912"/>
          <w:tab w:val="left" w:pos="5216"/>
          <w:tab w:val="left" w:pos="6521"/>
        </w:tabs>
        <w:contextualSpacing/>
        <w:rPr>
          <w:rFonts w:ascii="Sabon" w:hAnsi="Sabon"/>
          <w:sz w:val="22"/>
          <w:szCs w:val="22"/>
          <w:lang w:val="sv-SE"/>
        </w:rPr>
      </w:pPr>
    </w:p>
    <w:p w14:paraId="15AC26D6" w14:textId="77777777" w:rsidR="009105EA" w:rsidRDefault="009105EA" w:rsidP="009105EA">
      <w:pPr>
        <w:tabs>
          <w:tab w:val="left" w:pos="1304"/>
          <w:tab w:val="left" w:pos="2608"/>
          <w:tab w:val="left" w:pos="3912"/>
          <w:tab w:val="left" w:pos="5216"/>
          <w:tab w:val="left" w:pos="6521"/>
        </w:tabs>
        <w:contextualSpacing/>
        <w:rPr>
          <w:rFonts w:ascii="Sabon" w:hAnsi="Sabon"/>
          <w:sz w:val="22"/>
          <w:szCs w:val="22"/>
          <w:lang w:val="sv-SE"/>
        </w:rPr>
      </w:pPr>
    </w:p>
    <w:p w14:paraId="085A91DF" w14:textId="77777777" w:rsidR="009105EA" w:rsidRDefault="009105EA" w:rsidP="009105EA">
      <w:pPr>
        <w:tabs>
          <w:tab w:val="left" w:pos="1304"/>
          <w:tab w:val="left" w:pos="2608"/>
          <w:tab w:val="left" w:pos="3912"/>
          <w:tab w:val="left" w:pos="5216"/>
          <w:tab w:val="left" w:pos="6521"/>
        </w:tabs>
        <w:contextualSpacing/>
        <w:rPr>
          <w:rFonts w:ascii="Sabon" w:hAnsi="Sabon"/>
          <w:sz w:val="22"/>
          <w:szCs w:val="22"/>
          <w:lang w:val="sv-SE"/>
        </w:rPr>
      </w:pPr>
    </w:p>
    <w:p w14:paraId="159ADF59" w14:textId="77777777" w:rsidR="009105EA" w:rsidRDefault="009105EA" w:rsidP="009105EA">
      <w:pPr>
        <w:tabs>
          <w:tab w:val="left" w:pos="1304"/>
          <w:tab w:val="left" w:pos="2608"/>
          <w:tab w:val="left" w:pos="3912"/>
          <w:tab w:val="left" w:pos="5216"/>
          <w:tab w:val="left" w:pos="6521"/>
        </w:tabs>
        <w:contextualSpacing/>
        <w:rPr>
          <w:rFonts w:ascii="Sabon" w:hAnsi="Sabon"/>
          <w:sz w:val="22"/>
          <w:szCs w:val="22"/>
          <w:lang w:val="sv-SE"/>
        </w:rPr>
      </w:pPr>
    </w:p>
    <w:p w14:paraId="717709CF" w14:textId="77777777" w:rsidR="009105EA" w:rsidRDefault="009105EA" w:rsidP="009105EA">
      <w:pPr>
        <w:tabs>
          <w:tab w:val="left" w:pos="1304"/>
          <w:tab w:val="left" w:pos="2608"/>
          <w:tab w:val="left" w:pos="3912"/>
          <w:tab w:val="left" w:pos="5216"/>
          <w:tab w:val="left" w:pos="6521"/>
        </w:tabs>
        <w:contextualSpacing/>
        <w:rPr>
          <w:rFonts w:ascii="Sabon" w:hAnsi="Sabon"/>
          <w:sz w:val="22"/>
          <w:szCs w:val="22"/>
          <w:lang w:val="sv-SE"/>
        </w:rPr>
      </w:pPr>
    </w:p>
    <w:p w14:paraId="7EC0380A" w14:textId="77777777" w:rsidR="009105EA" w:rsidRDefault="009105EA" w:rsidP="009105EA">
      <w:pPr>
        <w:tabs>
          <w:tab w:val="left" w:pos="1304"/>
          <w:tab w:val="left" w:pos="2608"/>
          <w:tab w:val="left" w:pos="3912"/>
          <w:tab w:val="left" w:pos="5216"/>
          <w:tab w:val="left" w:pos="6521"/>
        </w:tabs>
        <w:contextualSpacing/>
        <w:rPr>
          <w:rFonts w:ascii="Sabon" w:hAnsi="Sabon"/>
          <w:sz w:val="22"/>
          <w:szCs w:val="22"/>
          <w:lang w:val="sv-SE"/>
        </w:rPr>
      </w:pPr>
    </w:p>
    <w:p w14:paraId="2F32E2ED" w14:textId="77777777" w:rsidR="009105EA" w:rsidRDefault="009105EA" w:rsidP="009105EA">
      <w:pPr>
        <w:tabs>
          <w:tab w:val="left" w:pos="1304"/>
          <w:tab w:val="left" w:pos="2608"/>
          <w:tab w:val="left" w:pos="3912"/>
          <w:tab w:val="left" w:pos="5216"/>
          <w:tab w:val="left" w:pos="6521"/>
        </w:tabs>
        <w:contextualSpacing/>
        <w:rPr>
          <w:rFonts w:ascii="Sabon" w:hAnsi="Sabon"/>
          <w:sz w:val="22"/>
          <w:szCs w:val="22"/>
          <w:lang w:val="sv-SE"/>
        </w:rPr>
      </w:pPr>
    </w:p>
    <w:p w14:paraId="4E386B59" w14:textId="77777777" w:rsidR="009105EA" w:rsidRDefault="009105EA" w:rsidP="009105EA">
      <w:pPr>
        <w:tabs>
          <w:tab w:val="left" w:pos="1304"/>
          <w:tab w:val="left" w:pos="2608"/>
          <w:tab w:val="left" w:pos="3912"/>
          <w:tab w:val="left" w:pos="5216"/>
          <w:tab w:val="left" w:pos="6521"/>
        </w:tabs>
        <w:contextualSpacing/>
        <w:rPr>
          <w:rFonts w:ascii="Sabon" w:hAnsi="Sabon"/>
          <w:sz w:val="22"/>
          <w:szCs w:val="22"/>
          <w:lang w:val="sv-SE"/>
        </w:rPr>
      </w:pPr>
    </w:p>
    <w:p w14:paraId="657B1996" w14:textId="77777777" w:rsidR="009105EA" w:rsidRDefault="009105EA" w:rsidP="009105EA">
      <w:pPr>
        <w:tabs>
          <w:tab w:val="left" w:pos="1304"/>
          <w:tab w:val="left" w:pos="2608"/>
          <w:tab w:val="left" w:pos="3912"/>
          <w:tab w:val="left" w:pos="5216"/>
          <w:tab w:val="left" w:pos="6521"/>
        </w:tabs>
        <w:contextualSpacing/>
        <w:rPr>
          <w:rFonts w:ascii="Sabon" w:hAnsi="Sabon"/>
          <w:sz w:val="22"/>
          <w:szCs w:val="22"/>
          <w:lang w:val="sv-SE"/>
        </w:rPr>
      </w:pPr>
    </w:p>
    <w:p w14:paraId="3E916AAE" w14:textId="77777777" w:rsidR="009105EA" w:rsidRDefault="009105EA" w:rsidP="009105EA">
      <w:pPr>
        <w:tabs>
          <w:tab w:val="left" w:pos="1304"/>
          <w:tab w:val="left" w:pos="2608"/>
          <w:tab w:val="left" w:pos="3912"/>
          <w:tab w:val="left" w:pos="5216"/>
          <w:tab w:val="left" w:pos="6521"/>
        </w:tabs>
        <w:contextualSpacing/>
        <w:rPr>
          <w:rFonts w:ascii="Sabon" w:hAnsi="Sabon"/>
          <w:sz w:val="22"/>
          <w:szCs w:val="22"/>
          <w:lang w:val="sv-SE"/>
        </w:rPr>
      </w:pPr>
    </w:p>
    <w:p w14:paraId="6BB67138" w14:textId="77777777" w:rsidR="009105EA" w:rsidRDefault="009105EA" w:rsidP="009105EA">
      <w:pPr>
        <w:tabs>
          <w:tab w:val="left" w:pos="1304"/>
          <w:tab w:val="left" w:pos="2608"/>
          <w:tab w:val="left" w:pos="3912"/>
          <w:tab w:val="left" w:pos="5216"/>
          <w:tab w:val="left" w:pos="6521"/>
        </w:tabs>
        <w:contextualSpacing/>
        <w:rPr>
          <w:rFonts w:ascii="Sabon" w:hAnsi="Sabon"/>
          <w:sz w:val="22"/>
          <w:szCs w:val="22"/>
          <w:lang w:val="sv-SE"/>
        </w:rPr>
      </w:pPr>
    </w:p>
    <w:p w14:paraId="512273A5" w14:textId="77777777" w:rsidR="009105EA" w:rsidRDefault="009105EA" w:rsidP="009105EA">
      <w:pPr>
        <w:tabs>
          <w:tab w:val="left" w:pos="1304"/>
          <w:tab w:val="left" w:pos="2608"/>
          <w:tab w:val="left" w:pos="3912"/>
          <w:tab w:val="left" w:pos="5216"/>
          <w:tab w:val="left" w:pos="6521"/>
        </w:tabs>
        <w:contextualSpacing/>
        <w:rPr>
          <w:rFonts w:ascii="Sabon" w:hAnsi="Sabon"/>
          <w:sz w:val="22"/>
          <w:szCs w:val="22"/>
          <w:lang w:val="sv-SE"/>
        </w:rPr>
      </w:pPr>
    </w:p>
    <w:p w14:paraId="31BB55FC" w14:textId="77777777" w:rsidR="009105EA" w:rsidRDefault="009105EA" w:rsidP="009105EA">
      <w:pPr>
        <w:tabs>
          <w:tab w:val="left" w:pos="1304"/>
          <w:tab w:val="left" w:pos="2608"/>
          <w:tab w:val="left" w:pos="3912"/>
          <w:tab w:val="left" w:pos="5216"/>
          <w:tab w:val="left" w:pos="6521"/>
        </w:tabs>
        <w:contextualSpacing/>
        <w:rPr>
          <w:rFonts w:ascii="Sabon" w:hAnsi="Sabon"/>
          <w:sz w:val="22"/>
          <w:szCs w:val="22"/>
          <w:lang w:val="sv-SE"/>
        </w:rPr>
      </w:pPr>
    </w:p>
    <w:p w14:paraId="7ADE849A" w14:textId="77777777" w:rsidR="009105EA" w:rsidRDefault="009105EA" w:rsidP="009105EA">
      <w:pPr>
        <w:tabs>
          <w:tab w:val="left" w:pos="1304"/>
          <w:tab w:val="left" w:pos="2608"/>
          <w:tab w:val="left" w:pos="3912"/>
          <w:tab w:val="left" w:pos="5216"/>
          <w:tab w:val="left" w:pos="6521"/>
        </w:tabs>
        <w:contextualSpacing/>
        <w:rPr>
          <w:rFonts w:ascii="Sabon" w:hAnsi="Sabon"/>
          <w:sz w:val="22"/>
          <w:szCs w:val="22"/>
          <w:lang w:val="sv-SE"/>
        </w:rPr>
      </w:pPr>
    </w:p>
    <w:p w14:paraId="459202E7" w14:textId="77777777" w:rsidR="009105EA" w:rsidRDefault="009105EA" w:rsidP="009105EA">
      <w:pPr>
        <w:tabs>
          <w:tab w:val="left" w:pos="1304"/>
          <w:tab w:val="left" w:pos="2608"/>
          <w:tab w:val="left" w:pos="3912"/>
          <w:tab w:val="left" w:pos="5216"/>
          <w:tab w:val="left" w:pos="6521"/>
        </w:tabs>
        <w:contextualSpacing/>
        <w:rPr>
          <w:rFonts w:ascii="Sabon" w:hAnsi="Sabon"/>
          <w:sz w:val="22"/>
          <w:szCs w:val="22"/>
          <w:lang w:val="sv-SE"/>
        </w:rPr>
      </w:pPr>
    </w:p>
    <w:p w14:paraId="0D86349C" w14:textId="77777777" w:rsidR="009105EA" w:rsidRDefault="009105EA" w:rsidP="009105EA">
      <w:pPr>
        <w:tabs>
          <w:tab w:val="left" w:pos="1304"/>
          <w:tab w:val="left" w:pos="2608"/>
          <w:tab w:val="left" w:pos="3912"/>
          <w:tab w:val="left" w:pos="5216"/>
          <w:tab w:val="left" w:pos="6521"/>
        </w:tabs>
        <w:contextualSpacing/>
        <w:rPr>
          <w:rFonts w:ascii="Sabon" w:hAnsi="Sabon"/>
          <w:sz w:val="22"/>
          <w:szCs w:val="22"/>
          <w:lang w:val="sv-SE"/>
        </w:rPr>
      </w:pPr>
    </w:p>
    <w:p w14:paraId="709CEC3B" w14:textId="77777777" w:rsidR="009105EA" w:rsidRDefault="009105EA" w:rsidP="009105EA">
      <w:pPr>
        <w:tabs>
          <w:tab w:val="left" w:pos="1304"/>
          <w:tab w:val="left" w:pos="2608"/>
          <w:tab w:val="left" w:pos="3912"/>
          <w:tab w:val="left" w:pos="5216"/>
          <w:tab w:val="left" w:pos="6521"/>
        </w:tabs>
        <w:contextualSpacing/>
        <w:rPr>
          <w:rFonts w:ascii="Sabon" w:hAnsi="Sabon"/>
          <w:sz w:val="22"/>
          <w:szCs w:val="22"/>
          <w:lang w:val="sv-SE"/>
        </w:rPr>
      </w:pPr>
    </w:p>
    <w:p w14:paraId="4F1F900A" w14:textId="77777777" w:rsidR="009105EA" w:rsidRDefault="009105EA" w:rsidP="009105EA">
      <w:pPr>
        <w:tabs>
          <w:tab w:val="left" w:pos="1304"/>
          <w:tab w:val="left" w:pos="2608"/>
          <w:tab w:val="left" w:pos="3912"/>
          <w:tab w:val="left" w:pos="5216"/>
          <w:tab w:val="left" w:pos="6521"/>
        </w:tabs>
        <w:contextualSpacing/>
        <w:rPr>
          <w:rFonts w:ascii="Sabon" w:hAnsi="Sabon"/>
          <w:sz w:val="22"/>
          <w:szCs w:val="22"/>
          <w:lang w:val="sv-SE"/>
        </w:rPr>
      </w:pPr>
    </w:p>
    <w:p w14:paraId="08E5AC2C" w14:textId="77777777" w:rsidR="009105EA" w:rsidRDefault="009105EA" w:rsidP="009105EA">
      <w:pPr>
        <w:tabs>
          <w:tab w:val="left" w:pos="1304"/>
          <w:tab w:val="left" w:pos="2608"/>
          <w:tab w:val="left" w:pos="3912"/>
          <w:tab w:val="left" w:pos="5216"/>
          <w:tab w:val="left" w:pos="6521"/>
        </w:tabs>
        <w:contextualSpacing/>
        <w:rPr>
          <w:rFonts w:ascii="Sabon" w:hAnsi="Sabon"/>
          <w:sz w:val="22"/>
          <w:szCs w:val="22"/>
          <w:lang w:val="sv-SE"/>
        </w:rPr>
      </w:pPr>
    </w:p>
    <w:p w14:paraId="6E0AD3F8" w14:textId="77777777" w:rsidR="009105EA" w:rsidRDefault="009105EA" w:rsidP="009105EA">
      <w:pPr>
        <w:tabs>
          <w:tab w:val="left" w:pos="1304"/>
          <w:tab w:val="left" w:pos="2608"/>
          <w:tab w:val="left" w:pos="3912"/>
          <w:tab w:val="left" w:pos="5216"/>
          <w:tab w:val="left" w:pos="6521"/>
        </w:tabs>
        <w:contextualSpacing/>
        <w:rPr>
          <w:rFonts w:ascii="Sabon" w:hAnsi="Sabon"/>
          <w:sz w:val="22"/>
          <w:szCs w:val="22"/>
          <w:lang w:val="sv-SE"/>
        </w:rPr>
      </w:pPr>
    </w:p>
    <w:p w14:paraId="3072D5F1" w14:textId="77777777" w:rsidR="009105EA" w:rsidRDefault="009105EA" w:rsidP="009105EA">
      <w:pPr>
        <w:tabs>
          <w:tab w:val="left" w:pos="1304"/>
          <w:tab w:val="left" w:pos="2608"/>
          <w:tab w:val="left" w:pos="3912"/>
          <w:tab w:val="left" w:pos="5216"/>
          <w:tab w:val="left" w:pos="6521"/>
        </w:tabs>
        <w:contextualSpacing/>
        <w:rPr>
          <w:rFonts w:ascii="Sabon" w:hAnsi="Sabon"/>
          <w:sz w:val="22"/>
          <w:szCs w:val="22"/>
          <w:lang w:val="sv-SE"/>
        </w:rPr>
      </w:pPr>
    </w:p>
    <w:p w14:paraId="40865A57" w14:textId="77777777" w:rsidR="009105EA" w:rsidRDefault="009105EA" w:rsidP="009105EA">
      <w:pPr>
        <w:tabs>
          <w:tab w:val="left" w:pos="1304"/>
          <w:tab w:val="left" w:pos="2608"/>
          <w:tab w:val="left" w:pos="3912"/>
          <w:tab w:val="left" w:pos="5216"/>
          <w:tab w:val="left" w:pos="6521"/>
        </w:tabs>
        <w:contextualSpacing/>
        <w:rPr>
          <w:rFonts w:ascii="Sabon" w:hAnsi="Sabon"/>
          <w:sz w:val="22"/>
          <w:szCs w:val="22"/>
          <w:lang w:val="sv-SE"/>
        </w:rPr>
      </w:pPr>
    </w:p>
    <w:p w14:paraId="7D4482A2" w14:textId="77777777" w:rsidR="009105EA" w:rsidRDefault="009105EA" w:rsidP="009105EA">
      <w:pPr>
        <w:tabs>
          <w:tab w:val="left" w:pos="1304"/>
          <w:tab w:val="left" w:pos="2608"/>
          <w:tab w:val="left" w:pos="3912"/>
          <w:tab w:val="left" w:pos="5216"/>
          <w:tab w:val="left" w:pos="6521"/>
        </w:tabs>
        <w:contextualSpacing/>
        <w:rPr>
          <w:rFonts w:ascii="Sabon" w:hAnsi="Sabon"/>
          <w:sz w:val="22"/>
          <w:szCs w:val="22"/>
          <w:lang w:val="sv-SE"/>
        </w:rPr>
      </w:pPr>
    </w:p>
    <w:p w14:paraId="4854888C" w14:textId="77777777" w:rsidR="009105EA" w:rsidRDefault="009105EA" w:rsidP="009105EA">
      <w:pPr>
        <w:tabs>
          <w:tab w:val="left" w:pos="1304"/>
          <w:tab w:val="left" w:pos="2608"/>
          <w:tab w:val="left" w:pos="3912"/>
          <w:tab w:val="left" w:pos="5216"/>
          <w:tab w:val="left" w:pos="6521"/>
        </w:tabs>
        <w:contextualSpacing/>
        <w:rPr>
          <w:rFonts w:ascii="Sabon" w:hAnsi="Sabon"/>
          <w:sz w:val="22"/>
          <w:szCs w:val="22"/>
          <w:lang w:val="sv-SE"/>
        </w:rPr>
      </w:pPr>
    </w:p>
    <w:p w14:paraId="6E073AE6" w14:textId="77777777" w:rsidR="009105EA" w:rsidRDefault="009105EA" w:rsidP="009105EA">
      <w:pPr>
        <w:tabs>
          <w:tab w:val="left" w:pos="1304"/>
          <w:tab w:val="left" w:pos="2608"/>
          <w:tab w:val="left" w:pos="3912"/>
          <w:tab w:val="left" w:pos="5216"/>
          <w:tab w:val="left" w:pos="6521"/>
        </w:tabs>
        <w:contextualSpacing/>
        <w:rPr>
          <w:rFonts w:ascii="Sabon" w:hAnsi="Sabon"/>
          <w:sz w:val="22"/>
          <w:szCs w:val="22"/>
          <w:lang w:val="sv-SE"/>
        </w:rPr>
      </w:pPr>
    </w:p>
    <w:p w14:paraId="266B73CE" w14:textId="77777777" w:rsidR="009105EA" w:rsidRDefault="009105EA" w:rsidP="009105EA">
      <w:pPr>
        <w:tabs>
          <w:tab w:val="left" w:pos="1304"/>
          <w:tab w:val="left" w:pos="2608"/>
          <w:tab w:val="left" w:pos="3912"/>
          <w:tab w:val="left" w:pos="5216"/>
          <w:tab w:val="left" w:pos="6521"/>
        </w:tabs>
        <w:contextualSpacing/>
        <w:rPr>
          <w:rFonts w:ascii="Sabon" w:hAnsi="Sabon"/>
          <w:sz w:val="22"/>
          <w:szCs w:val="22"/>
          <w:lang w:val="sv-SE"/>
        </w:rPr>
      </w:pPr>
    </w:p>
    <w:p w14:paraId="03466F32" w14:textId="77777777" w:rsidR="009105EA" w:rsidRDefault="009105EA" w:rsidP="009105EA">
      <w:pPr>
        <w:tabs>
          <w:tab w:val="left" w:pos="1304"/>
          <w:tab w:val="left" w:pos="2608"/>
          <w:tab w:val="left" w:pos="3912"/>
          <w:tab w:val="left" w:pos="5216"/>
          <w:tab w:val="left" w:pos="6521"/>
        </w:tabs>
        <w:contextualSpacing/>
        <w:rPr>
          <w:rFonts w:ascii="Sabon" w:hAnsi="Sabon"/>
          <w:sz w:val="22"/>
          <w:szCs w:val="22"/>
          <w:lang w:val="sv-SE"/>
        </w:rPr>
      </w:pPr>
    </w:p>
    <w:p w14:paraId="40247DF9" w14:textId="77777777" w:rsidR="009105EA" w:rsidRDefault="009105EA" w:rsidP="009105EA">
      <w:pPr>
        <w:tabs>
          <w:tab w:val="left" w:pos="1304"/>
          <w:tab w:val="left" w:pos="2608"/>
          <w:tab w:val="left" w:pos="3912"/>
          <w:tab w:val="left" w:pos="5216"/>
          <w:tab w:val="left" w:pos="6521"/>
        </w:tabs>
        <w:contextualSpacing/>
        <w:rPr>
          <w:rFonts w:ascii="Sabon" w:hAnsi="Sabon"/>
          <w:sz w:val="22"/>
          <w:szCs w:val="22"/>
          <w:lang w:val="sv-SE"/>
        </w:rPr>
      </w:pPr>
    </w:p>
    <w:p w14:paraId="530184C3" w14:textId="77777777" w:rsidR="00FD7927" w:rsidRDefault="00FD7927" w:rsidP="009105EA">
      <w:pPr>
        <w:tabs>
          <w:tab w:val="left" w:pos="1304"/>
          <w:tab w:val="left" w:pos="2608"/>
          <w:tab w:val="left" w:pos="3912"/>
          <w:tab w:val="left" w:pos="5216"/>
          <w:tab w:val="left" w:pos="6521"/>
        </w:tabs>
        <w:contextualSpacing/>
        <w:rPr>
          <w:rFonts w:ascii="Sabon" w:hAnsi="Sabon"/>
          <w:sz w:val="22"/>
          <w:szCs w:val="22"/>
          <w:lang w:val="sv-SE"/>
        </w:rPr>
      </w:pPr>
    </w:p>
    <w:p w14:paraId="7C4F0C5F" w14:textId="77777777" w:rsidR="00FD7927" w:rsidRDefault="00FD7927" w:rsidP="009105EA">
      <w:pPr>
        <w:tabs>
          <w:tab w:val="left" w:pos="1304"/>
          <w:tab w:val="left" w:pos="2608"/>
          <w:tab w:val="left" w:pos="3912"/>
          <w:tab w:val="left" w:pos="5216"/>
          <w:tab w:val="left" w:pos="6521"/>
        </w:tabs>
        <w:contextualSpacing/>
        <w:rPr>
          <w:rFonts w:ascii="Sabon" w:hAnsi="Sabon"/>
          <w:sz w:val="22"/>
          <w:szCs w:val="22"/>
          <w:lang w:val="sv-SE"/>
        </w:rPr>
      </w:pPr>
    </w:p>
    <w:p w14:paraId="7F9A890D" w14:textId="77777777" w:rsidR="00FD7927" w:rsidRDefault="00FD7927" w:rsidP="009105EA">
      <w:pPr>
        <w:tabs>
          <w:tab w:val="left" w:pos="1304"/>
          <w:tab w:val="left" w:pos="2608"/>
          <w:tab w:val="left" w:pos="3912"/>
          <w:tab w:val="left" w:pos="5216"/>
          <w:tab w:val="left" w:pos="6521"/>
        </w:tabs>
        <w:contextualSpacing/>
        <w:rPr>
          <w:rFonts w:ascii="Sabon" w:hAnsi="Sabon"/>
          <w:sz w:val="22"/>
          <w:szCs w:val="22"/>
          <w:lang w:val="sv-SE"/>
        </w:rPr>
      </w:pPr>
    </w:p>
    <w:p w14:paraId="6688B154" w14:textId="77777777" w:rsidR="009105EA" w:rsidRPr="00513AA5" w:rsidRDefault="009105EA" w:rsidP="009105EA">
      <w:pPr>
        <w:ind w:right="908"/>
        <w:rPr>
          <w:b/>
          <w:lang w:val="sv-SE"/>
        </w:rPr>
      </w:pPr>
      <w:r w:rsidRPr="00513AA5">
        <w:rPr>
          <w:b/>
          <w:lang w:val="sv-SE"/>
        </w:rPr>
        <w:lastRenderedPageBreak/>
        <w:t>Branschrekommendationer beträffande spannmålshandelns hantering</w:t>
      </w:r>
      <w:r>
        <w:rPr>
          <w:b/>
          <w:lang w:val="sv-SE"/>
        </w:rPr>
        <w:t xml:space="preserve"> av DON-problematik i skörd 2015</w:t>
      </w:r>
      <w:r w:rsidRPr="00513AA5">
        <w:rPr>
          <w:b/>
          <w:lang w:val="sv-SE"/>
        </w:rPr>
        <w:t>*</w:t>
      </w:r>
    </w:p>
    <w:p w14:paraId="2507DC3A" w14:textId="77777777" w:rsidR="009105EA" w:rsidRPr="00513AA5" w:rsidRDefault="009105EA" w:rsidP="009105EA">
      <w:pPr>
        <w:ind w:right="908"/>
        <w:rPr>
          <w:lang w:val="sv-SE"/>
        </w:rPr>
      </w:pPr>
    </w:p>
    <w:p w14:paraId="39986873" w14:textId="77777777" w:rsidR="009105EA" w:rsidRPr="00513AA5" w:rsidRDefault="009105EA" w:rsidP="009105EA">
      <w:pPr>
        <w:ind w:right="908"/>
        <w:rPr>
          <w:lang w:val="sv-SE"/>
        </w:rPr>
      </w:pPr>
      <w:r w:rsidRPr="00513AA5">
        <w:rPr>
          <w:lang w:val="sv-SE"/>
        </w:rPr>
        <w:t>1.</w:t>
      </w:r>
      <w:r w:rsidRPr="00513AA5">
        <w:rPr>
          <w:lang w:val="sv-SE"/>
        </w:rPr>
        <w:tab/>
      </w:r>
      <w:r w:rsidRPr="00513AA5">
        <w:rPr>
          <w:i/>
          <w:lang w:val="sv-SE"/>
        </w:rPr>
        <w:t>Gränsvärden</w:t>
      </w:r>
    </w:p>
    <w:p w14:paraId="26EBD347" w14:textId="77777777" w:rsidR="009105EA" w:rsidRPr="00513AA5" w:rsidRDefault="009105EA" w:rsidP="009105EA">
      <w:pPr>
        <w:ind w:right="908"/>
        <w:rPr>
          <w:lang w:val="sv-SE"/>
        </w:rPr>
      </w:pPr>
      <w:r w:rsidRPr="00513AA5">
        <w:rPr>
          <w:lang w:val="sv-SE"/>
        </w:rPr>
        <w:t xml:space="preserve">För spannmål gäller ett lagstadgat gränsvärde om 1250 µg/kg utom för grynhavre där gränsvärdet är satt till 1750 µg/kg. För foderspannmål finns det ett riktvärde på 8000 µg/kg. Rekommendationen är att detta riktvärde används som ett gränsvärde, </w:t>
      </w:r>
      <w:proofErr w:type="gramStart"/>
      <w:r w:rsidRPr="00513AA5">
        <w:rPr>
          <w:lang w:val="sv-SE"/>
        </w:rPr>
        <w:t>dvs</w:t>
      </w:r>
      <w:proofErr w:type="gramEnd"/>
      <w:r w:rsidRPr="00513AA5">
        <w:rPr>
          <w:lang w:val="sv-SE"/>
        </w:rPr>
        <w:t xml:space="preserve"> partier som ligger över detta värde skall hanteras som otjänliga för foderändamål.</w:t>
      </w:r>
    </w:p>
    <w:p w14:paraId="401519EB" w14:textId="77777777" w:rsidR="009105EA" w:rsidRPr="00513AA5" w:rsidRDefault="009105EA" w:rsidP="009105EA">
      <w:pPr>
        <w:ind w:right="908"/>
        <w:rPr>
          <w:lang w:val="sv-SE"/>
        </w:rPr>
      </w:pPr>
    </w:p>
    <w:p w14:paraId="04901F05" w14:textId="77777777" w:rsidR="009105EA" w:rsidRPr="00513AA5" w:rsidRDefault="009105EA" w:rsidP="009105EA">
      <w:pPr>
        <w:ind w:right="908"/>
        <w:rPr>
          <w:i/>
          <w:lang w:val="sv-SE"/>
        </w:rPr>
      </w:pPr>
      <w:r>
        <w:rPr>
          <w:i/>
          <w:lang w:val="sv-SE"/>
        </w:rPr>
        <w:t>2.</w:t>
      </w:r>
      <w:r>
        <w:rPr>
          <w:i/>
          <w:lang w:val="sv-SE"/>
        </w:rPr>
        <w:tab/>
        <w:t xml:space="preserve">Riskanalys, </w:t>
      </w:r>
      <w:r w:rsidRPr="00513AA5">
        <w:rPr>
          <w:i/>
          <w:lang w:val="sv-SE"/>
        </w:rPr>
        <w:t>provtagning och an</w:t>
      </w:r>
      <w:r>
        <w:rPr>
          <w:i/>
          <w:lang w:val="sv-SE"/>
        </w:rPr>
        <w:t>a</w:t>
      </w:r>
      <w:r w:rsidRPr="00513AA5">
        <w:rPr>
          <w:i/>
          <w:lang w:val="sv-SE"/>
        </w:rPr>
        <w:t>lysering</w:t>
      </w:r>
    </w:p>
    <w:p w14:paraId="2802C3B5" w14:textId="77777777" w:rsidR="009105EA" w:rsidRPr="00513AA5" w:rsidRDefault="009105EA" w:rsidP="009105EA">
      <w:pPr>
        <w:ind w:right="908"/>
        <w:rPr>
          <w:lang w:val="sv-SE"/>
        </w:rPr>
      </w:pPr>
      <w:r w:rsidRPr="00513AA5">
        <w:rPr>
          <w:lang w:val="sv-SE"/>
        </w:rPr>
        <w:t xml:space="preserve">Det är viktigt att varje företag gör en analys beträffande risken för inleveranser av spannmål med höga </w:t>
      </w:r>
      <w:proofErr w:type="spellStart"/>
      <w:r w:rsidRPr="00513AA5">
        <w:rPr>
          <w:lang w:val="sv-SE"/>
        </w:rPr>
        <w:t>mykotoxinhalter</w:t>
      </w:r>
      <w:proofErr w:type="spellEnd"/>
      <w:r w:rsidRPr="00513AA5">
        <w:rPr>
          <w:lang w:val="sv-SE"/>
        </w:rPr>
        <w:t xml:space="preserve">.  Detta görs lämpligen genom att ta del av branschens rapporter från </w:t>
      </w:r>
      <w:r w:rsidRPr="00C526C8">
        <w:rPr>
          <w:lang w:val="sv-SE"/>
        </w:rPr>
        <w:t>provtagningsprojekt</w:t>
      </w:r>
      <w:r w:rsidRPr="00513AA5">
        <w:rPr>
          <w:lang w:val="sv-SE"/>
        </w:rPr>
        <w:t xml:space="preserve"> och kombinera detta med egen provtagning och analysering.  </w:t>
      </w:r>
    </w:p>
    <w:p w14:paraId="0D1AB5C6" w14:textId="77777777" w:rsidR="009105EA" w:rsidRPr="00513AA5" w:rsidRDefault="009105EA" w:rsidP="009105EA">
      <w:pPr>
        <w:ind w:right="908"/>
        <w:rPr>
          <w:lang w:val="sv-SE"/>
        </w:rPr>
      </w:pPr>
    </w:p>
    <w:p w14:paraId="54BC1730" w14:textId="77777777" w:rsidR="009105EA" w:rsidRPr="00513AA5" w:rsidRDefault="009105EA" w:rsidP="009105EA">
      <w:pPr>
        <w:ind w:right="908"/>
        <w:rPr>
          <w:lang w:val="sv-SE"/>
        </w:rPr>
      </w:pPr>
      <w:r w:rsidRPr="00513AA5">
        <w:rPr>
          <w:lang w:val="sv-SE"/>
        </w:rPr>
        <w:t xml:space="preserve">För så rättvisande provsvar som möjligt är det av synnerlig vikt att alla prov är så representativa som möjligt.  </w:t>
      </w:r>
    </w:p>
    <w:p w14:paraId="4ED2775C" w14:textId="77777777" w:rsidR="009105EA" w:rsidRPr="00513AA5" w:rsidRDefault="009105EA" w:rsidP="009105EA">
      <w:pPr>
        <w:ind w:right="908"/>
        <w:rPr>
          <w:lang w:val="sv-SE"/>
        </w:rPr>
      </w:pPr>
    </w:p>
    <w:p w14:paraId="7B39E5FA" w14:textId="77777777" w:rsidR="009105EA" w:rsidRPr="00513AA5" w:rsidRDefault="009105EA" w:rsidP="009105EA">
      <w:pPr>
        <w:ind w:right="908"/>
        <w:rPr>
          <w:lang w:val="sv-SE"/>
        </w:rPr>
      </w:pPr>
      <w:r w:rsidRPr="00513AA5">
        <w:rPr>
          <w:lang w:val="sv-SE"/>
        </w:rPr>
        <w:t>I dagsläget används två</w:t>
      </w:r>
      <w:r>
        <w:rPr>
          <w:lang w:val="sv-SE"/>
        </w:rPr>
        <w:t xml:space="preserve"> huvudmetoder </w:t>
      </w:r>
      <w:r w:rsidRPr="00A52F3B">
        <w:rPr>
          <w:lang w:val="sv-SE"/>
        </w:rPr>
        <w:t>för laboratori</w:t>
      </w:r>
      <w:r>
        <w:rPr>
          <w:lang w:val="sv-SE"/>
        </w:rPr>
        <w:t xml:space="preserve">eanalyser av DON. Vanligast är </w:t>
      </w:r>
      <w:r w:rsidRPr="00A52F3B">
        <w:rPr>
          <w:lang w:val="sv-SE"/>
        </w:rPr>
        <w:t xml:space="preserve">ett </w:t>
      </w:r>
      <w:proofErr w:type="gramStart"/>
      <w:r w:rsidRPr="00A52F3B">
        <w:rPr>
          <w:lang w:val="sv-SE"/>
        </w:rPr>
        <w:t>s k</w:t>
      </w:r>
      <w:proofErr w:type="gramEnd"/>
      <w:r w:rsidRPr="00A52F3B">
        <w:rPr>
          <w:lang w:val="sv-SE"/>
        </w:rPr>
        <w:t xml:space="preserve"> ELISA-test, men </w:t>
      </w:r>
      <w:proofErr w:type="spellStart"/>
      <w:r w:rsidRPr="00A52F3B">
        <w:rPr>
          <w:lang w:val="sv-SE"/>
        </w:rPr>
        <w:t>vätskekromatografisk</w:t>
      </w:r>
      <w:proofErr w:type="spellEnd"/>
      <w:r w:rsidRPr="00A52F3B">
        <w:rPr>
          <w:lang w:val="sv-SE"/>
        </w:rPr>
        <w:t xml:space="preserve"> metodik förekommer.</w:t>
      </w:r>
      <w:r>
        <w:rPr>
          <w:color w:val="FF0000"/>
          <w:lang w:val="sv-SE"/>
        </w:rPr>
        <w:t xml:space="preserve"> </w:t>
      </w:r>
      <w:r w:rsidRPr="00513AA5">
        <w:rPr>
          <w:lang w:val="sv-SE"/>
        </w:rPr>
        <w:t>Det finns också ett par olika snabbtest på marknaden, där analysen sker med hjälp av provstickor. Handelns erfarenhet är att snabbtesterna fungerar väl, även om laboratorietesterna är mer exakta.</w:t>
      </w:r>
    </w:p>
    <w:p w14:paraId="773894B0" w14:textId="77777777" w:rsidR="009105EA" w:rsidRPr="00513AA5" w:rsidRDefault="009105EA" w:rsidP="009105EA">
      <w:pPr>
        <w:ind w:right="908"/>
        <w:rPr>
          <w:lang w:val="sv-SE"/>
        </w:rPr>
      </w:pPr>
      <w:r w:rsidRPr="00513AA5">
        <w:rPr>
          <w:lang w:val="sv-SE"/>
        </w:rPr>
        <w:t xml:space="preserve"> </w:t>
      </w:r>
    </w:p>
    <w:p w14:paraId="50AD214B" w14:textId="77777777" w:rsidR="009105EA" w:rsidRPr="00513AA5" w:rsidRDefault="009105EA" w:rsidP="009105EA">
      <w:pPr>
        <w:ind w:right="908"/>
        <w:rPr>
          <w:i/>
          <w:lang w:val="sv-SE"/>
        </w:rPr>
      </w:pPr>
      <w:r w:rsidRPr="00513AA5">
        <w:rPr>
          <w:i/>
          <w:lang w:val="sv-SE"/>
        </w:rPr>
        <w:t>3.</w:t>
      </w:r>
      <w:r w:rsidRPr="00513AA5">
        <w:rPr>
          <w:i/>
          <w:lang w:val="sv-SE"/>
        </w:rPr>
        <w:tab/>
        <w:t>Sortering och avräkning</w:t>
      </w:r>
    </w:p>
    <w:p w14:paraId="1CE30FBE" w14:textId="77777777" w:rsidR="009105EA" w:rsidRPr="00513AA5" w:rsidRDefault="009105EA" w:rsidP="009105EA">
      <w:pPr>
        <w:ind w:right="908"/>
        <w:rPr>
          <w:lang w:val="sv-SE"/>
        </w:rPr>
      </w:pPr>
      <w:r w:rsidRPr="00513AA5">
        <w:rPr>
          <w:lang w:val="sv-SE"/>
        </w:rPr>
        <w:t xml:space="preserve">Spannmål från </w:t>
      </w:r>
      <w:r>
        <w:rPr>
          <w:lang w:val="sv-SE"/>
        </w:rPr>
        <w:t>2015</w:t>
      </w:r>
      <w:r w:rsidRPr="00513AA5">
        <w:rPr>
          <w:lang w:val="sv-SE"/>
        </w:rPr>
        <w:t xml:space="preserve"> års skörd bör, om och när så erfordras, sorteras och avräknas i tre olika fraktioner, som därmed också utgör tre olika grundkvaliteter för handeln med spannmål. Dessa fraktioner är följande.</w:t>
      </w:r>
    </w:p>
    <w:p w14:paraId="4DDFA92A" w14:textId="77777777" w:rsidR="009105EA" w:rsidRPr="00513AA5" w:rsidRDefault="009105EA" w:rsidP="009105EA">
      <w:pPr>
        <w:ind w:left="720" w:right="908" w:hanging="720"/>
        <w:rPr>
          <w:lang w:val="sv-SE"/>
        </w:rPr>
      </w:pPr>
      <w:r w:rsidRPr="00513AA5">
        <w:rPr>
          <w:lang w:val="sv-SE"/>
        </w:rPr>
        <w:t>a)</w:t>
      </w:r>
      <w:r w:rsidRPr="00513AA5">
        <w:rPr>
          <w:lang w:val="sv-SE"/>
        </w:rPr>
        <w:tab/>
        <w:t>Livsmedelsråvara- vara som förutom grundläggande kvalitet har ett DON-värde på högst 1250 µg/kg (1750 för grynhavre)</w:t>
      </w:r>
      <w:r>
        <w:rPr>
          <w:lang w:val="sv-SE"/>
        </w:rPr>
        <w:t>.</w:t>
      </w:r>
    </w:p>
    <w:p w14:paraId="1869927E" w14:textId="77777777" w:rsidR="009105EA" w:rsidRPr="00513AA5" w:rsidRDefault="009105EA" w:rsidP="009105EA">
      <w:pPr>
        <w:ind w:left="720" w:right="908" w:hanging="720"/>
        <w:rPr>
          <w:lang w:val="sv-SE"/>
        </w:rPr>
      </w:pPr>
      <w:r w:rsidRPr="00513AA5">
        <w:rPr>
          <w:lang w:val="sv-SE"/>
        </w:rPr>
        <w:t>b)</w:t>
      </w:r>
      <w:r w:rsidRPr="00513AA5">
        <w:rPr>
          <w:lang w:val="sv-SE"/>
        </w:rPr>
        <w:tab/>
        <w:t>Foderspannmål- vara som förutom grundläggande kvalitet har ett DON-värde på högst</w:t>
      </w:r>
      <w:r>
        <w:rPr>
          <w:lang w:val="sv-SE"/>
        </w:rPr>
        <w:t xml:space="preserve"> 8000 µg/kg.</w:t>
      </w:r>
    </w:p>
    <w:p w14:paraId="2525A445" w14:textId="77777777" w:rsidR="009105EA" w:rsidRPr="00513AA5" w:rsidRDefault="009105EA" w:rsidP="009105EA">
      <w:pPr>
        <w:ind w:right="908"/>
        <w:rPr>
          <w:lang w:val="sv-SE"/>
        </w:rPr>
      </w:pPr>
      <w:r w:rsidRPr="00513AA5">
        <w:rPr>
          <w:lang w:val="sv-SE"/>
        </w:rPr>
        <w:t>c)</w:t>
      </w:r>
      <w:r w:rsidRPr="00513AA5">
        <w:rPr>
          <w:lang w:val="sv-SE"/>
        </w:rPr>
        <w:tab/>
        <w:t>Bränslekärna-vara som har ett DON-värde över 8000 µg/kg.</w:t>
      </w:r>
    </w:p>
    <w:p w14:paraId="301BC342" w14:textId="77777777" w:rsidR="009105EA" w:rsidRPr="00513AA5" w:rsidRDefault="009105EA" w:rsidP="009105EA">
      <w:pPr>
        <w:ind w:right="908"/>
        <w:rPr>
          <w:lang w:val="sv-SE"/>
        </w:rPr>
      </w:pPr>
    </w:p>
    <w:p w14:paraId="341E8CCD" w14:textId="77777777" w:rsidR="009105EA" w:rsidRPr="00513AA5" w:rsidRDefault="009105EA" w:rsidP="009105EA">
      <w:pPr>
        <w:ind w:right="908"/>
        <w:rPr>
          <w:i/>
          <w:lang w:val="sv-SE"/>
        </w:rPr>
      </w:pPr>
      <w:r w:rsidRPr="00513AA5">
        <w:rPr>
          <w:i/>
          <w:lang w:val="sv-SE"/>
        </w:rPr>
        <w:t>4.</w:t>
      </w:r>
      <w:r w:rsidRPr="00513AA5">
        <w:rPr>
          <w:i/>
          <w:lang w:val="sv-SE"/>
        </w:rPr>
        <w:tab/>
        <w:t>Ekologiska produkter</w:t>
      </w:r>
    </w:p>
    <w:p w14:paraId="130C5570" w14:textId="77777777" w:rsidR="009105EA" w:rsidRPr="00513AA5" w:rsidRDefault="009105EA" w:rsidP="009105EA">
      <w:pPr>
        <w:ind w:right="908"/>
        <w:rPr>
          <w:lang w:val="sv-SE"/>
        </w:rPr>
      </w:pPr>
      <w:r w:rsidRPr="00513AA5">
        <w:rPr>
          <w:lang w:val="sv-SE"/>
        </w:rPr>
        <w:t>Ekologiska produkter skall i DON-hänseende hanteras på samma sätt som konventionell vara.</w:t>
      </w:r>
    </w:p>
    <w:p w14:paraId="5B366FAB" w14:textId="77777777" w:rsidR="009105EA" w:rsidRPr="00513AA5" w:rsidRDefault="009105EA" w:rsidP="009105EA">
      <w:pPr>
        <w:ind w:right="908"/>
        <w:rPr>
          <w:lang w:val="sv-SE"/>
        </w:rPr>
      </w:pPr>
    </w:p>
    <w:p w14:paraId="5266E5FC" w14:textId="77777777" w:rsidR="009105EA" w:rsidRPr="00513AA5" w:rsidRDefault="009105EA" w:rsidP="009105EA">
      <w:pPr>
        <w:ind w:right="908"/>
        <w:rPr>
          <w:i/>
          <w:lang w:val="sv-SE"/>
        </w:rPr>
      </w:pPr>
      <w:r w:rsidRPr="00513AA5">
        <w:rPr>
          <w:i/>
          <w:lang w:val="sv-SE"/>
        </w:rPr>
        <w:t>5.</w:t>
      </w:r>
      <w:r w:rsidRPr="00513AA5">
        <w:rPr>
          <w:i/>
          <w:lang w:val="sv-SE"/>
        </w:rPr>
        <w:tab/>
        <w:t>Löpande kontroll</w:t>
      </w:r>
    </w:p>
    <w:p w14:paraId="5091DFD8" w14:textId="77777777" w:rsidR="009105EA" w:rsidRPr="00513AA5" w:rsidRDefault="009105EA" w:rsidP="009105EA">
      <w:pPr>
        <w:ind w:right="908"/>
        <w:rPr>
          <w:lang w:val="sv-SE"/>
        </w:rPr>
      </w:pPr>
      <w:r w:rsidRPr="00513AA5">
        <w:rPr>
          <w:lang w:val="sv-SE"/>
        </w:rPr>
        <w:t xml:space="preserve">DON-läget kan förändras snabbt, </w:t>
      </w:r>
      <w:proofErr w:type="spellStart"/>
      <w:r w:rsidRPr="00513AA5">
        <w:rPr>
          <w:lang w:val="sv-SE"/>
        </w:rPr>
        <w:t>bl</w:t>
      </w:r>
      <w:proofErr w:type="spellEnd"/>
      <w:r w:rsidRPr="00513AA5">
        <w:rPr>
          <w:lang w:val="sv-SE"/>
        </w:rPr>
        <w:t xml:space="preserve"> a till följd av väderomslag. Alla aktörer uppmanas därför att utifrån egen riskbedömning fortlöpande under säsongen </w:t>
      </w:r>
      <w:proofErr w:type="spellStart"/>
      <w:r w:rsidRPr="00513AA5">
        <w:rPr>
          <w:lang w:val="sv-SE"/>
        </w:rPr>
        <w:t>provta</w:t>
      </w:r>
      <w:proofErr w:type="spellEnd"/>
      <w:r w:rsidRPr="00513AA5">
        <w:rPr>
          <w:lang w:val="sv-SE"/>
        </w:rPr>
        <w:t xml:space="preserve"> och analysera spannmålsleveranser med avseende på DON </w:t>
      </w:r>
    </w:p>
    <w:p w14:paraId="07453F82" w14:textId="77777777" w:rsidR="009105EA" w:rsidRPr="00513AA5" w:rsidRDefault="009105EA" w:rsidP="009105EA">
      <w:pPr>
        <w:ind w:right="908"/>
        <w:rPr>
          <w:lang w:val="sv-SE"/>
        </w:rPr>
      </w:pPr>
    </w:p>
    <w:p w14:paraId="06A21022" w14:textId="77777777" w:rsidR="009105EA" w:rsidRPr="00513AA5" w:rsidRDefault="009105EA" w:rsidP="009105EA">
      <w:pPr>
        <w:ind w:right="908"/>
        <w:rPr>
          <w:i/>
          <w:lang w:val="sv-SE"/>
        </w:rPr>
      </w:pPr>
      <w:r w:rsidRPr="00513AA5">
        <w:rPr>
          <w:i/>
          <w:lang w:val="sv-SE"/>
        </w:rPr>
        <w:t>6.</w:t>
      </w:r>
      <w:r w:rsidRPr="00513AA5">
        <w:rPr>
          <w:i/>
          <w:lang w:val="sv-SE"/>
        </w:rPr>
        <w:tab/>
        <w:t xml:space="preserve">Andra </w:t>
      </w:r>
      <w:proofErr w:type="spellStart"/>
      <w:r w:rsidRPr="00513AA5">
        <w:rPr>
          <w:i/>
          <w:lang w:val="sv-SE"/>
        </w:rPr>
        <w:t>mykotoxiner</w:t>
      </w:r>
      <w:proofErr w:type="spellEnd"/>
    </w:p>
    <w:p w14:paraId="12519AC8" w14:textId="77777777" w:rsidR="009105EA" w:rsidRPr="00513AA5" w:rsidRDefault="009105EA" w:rsidP="009105EA">
      <w:pPr>
        <w:ind w:right="908"/>
        <w:rPr>
          <w:lang w:val="sv-SE"/>
        </w:rPr>
      </w:pPr>
      <w:r w:rsidRPr="00513AA5">
        <w:rPr>
          <w:lang w:val="sv-SE"/>
        </w:rPr>
        <w:t xml:space="preserve">Även om det framförallt är DON som tidvis utgjort ett problem i svensk spannmål, rekommenderas att utifrån en riskanalys </w:t>
      </w:r>
      <w:proofErr w:type="spellStart"/>
      <w:r w:rsidRPr="00513AA5">
        <w:rPr>
          <w:lang w:val="sv-SE"/>
        </w:rPr>
        <w:t>provta</w:t>
      </w:r>
      <w:proofErr w:type="spellEnd"/>
      <w:r w:rsidRPr="00513AA5">
        <w:rPr>
          <w:lang w:val="sv-SE"/>
        </w:rPr>
        <w:t xml:space="preserve"> och analysera spannmål även ifråga om andra </w:t>
      </w:r>
      <w:proofErr w:type="spellStart"/>
      <w:r w:rsidRPr="00513AA5">
        <w:rPr>
          <w:lang w:val="sv-SE"/>
        </w:rPr>
        <w:t>mykotoxiner</w:t>
      </w:r>
      <w:proofErr w:type="spellEnd"/>
      <w:r w:rsidRPr="00513AA5">
        <w:rPr>
          <w:lang w:val="sv-SE"/>
        </w:rPr>
        <w:t xml:space="preserve">, i första hand </w:t>
      </w:r>
      <w:proofErr w:type="spellStart"/>
      <w:r w:rsidRPr="00513AA5">
        <w:rPr>
          <w:lang w:val="sv-SE"/>
        </w:rPr>
        <w:t>Zeralenon</w:t>
      </w:r>
      <w:proofErr w:type="spellEnd"/>
      <w:r w:rsidRPr="00513AA5">
        <w:rPr>
          <w:lang w:val="sv-SE"/>
        </w:rPr>
        <w:t xml:space="preserve"> (ZEA), T-2 och HT-2.</w:t>
      </w:r>
    </w:p>
    <w:p w14:paraId="5FABA77F" w14:textId="77777777" w:rsidR="009105EA" w:rsidRPr="00513AA5" w:rsidRDefault="009105EA" w:rsidP="009105EA">
      <w:pPr>
        <w:ind w:right="908"/>
        <w:rPr>
          <w:lang w:val="sv-SE"/>
        </w:rPr>
      </w:pPr>
    </w:p>
    <w:p w14:paraId="57459FDB" w14:textId="77777777" w:rsidR="009105EA" w:rsidRPr="00513AA5" w:rsidRDefault="009105EA" w:rsidP="009105EA">
      <w:pPr>
        <w:ind w:right="908"/>
        <w:rPr>
          <w:lang w:val="sv-SE"/>
        </w:rPr>
      </w:pPr>
    </w:p>
    <w:p w14:paraId="251283E7" w14:textId="77777777" w:rsidR="009105EA" w:rsidRPr="00513AA5" w:rsidRDefault="009105EA" w:rsidP="009105EA">
      <w:pPr>
        <w:ind w:right="908"/>
        <w:rPr>
          <w:lang w:val="sv-SE"/>
        </w:rPr>
      </w:pPr>
      <w:r w:rsidRPr="00513AA5">
        <w:rPr>
          <w:lang w:val="sv-SE"/>
        </w:rPr>
        <w:t>* Rekommendationerna har arbetats fram i samråd mellan Föreningen Foder &amp; Spannmål, Kalmar Lantmän, Lantmännen och Svenska Foder.</w:t>
      </w:r>
    </w:p>
    <w:p w14:paraId="525B0B9C" w14:textId="77777777" w:rsidR="009D1280" w:rsidRPr="00733650" w:rsidRDefault="009105EA" w:rsidP="00F0525E">
      <w:pPr>
        <w:ind w:right="908"/>
        <w:rPr>
          <w:lang w:val="sv-SE"/>
        </w:rPr>
      </w:pPr>
      <w:r w:rsidRPr="00513AA5">
        <w:rPr>
          <w:lang w:val="sv-SE"/>
        </w:rPr>
        <w:t xml:space="preserve"> </w:t>
      </w:r>
    </w:p>
    <w:sectPr w:rsidR="009D1280" w:rsidRPr="00733650" w:rsidSect="00B07D2B">
      <w:headerReference w:type="even" r:id="rId7"/>
      <w:headerReference w:type="default" r:id="rId8"/>
      <w:footerReference w:type="even" r:id="rId9"/>
      <w:footerReference w:type="default" r:id="rId10"/>
      <w:headerReference w:type="first" r:id="rId11"/>
      <w:footerReference w:type="first" r:id="rId12"/>
      <w:pgSz w:w="11900" w:h="16840"/>
      <w:pgMar w:top="1135" w:right="1410" w:bottom="284"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01A4C" w14:textId="77777777" w:rsidR="00C730DD" w:rsidRDefault="00C730DD">
      <w:r>
        <w:separator/>
      </w:r>
    </w:p>
  </w:endnote>
  <w:endnote w:type="continuationSeparator" w:id="0">
    <w:p w14:paraId="5F22CE07" w14:textId="77777777" w:rsidR="00C730DD" w:rsidRDefault="00C73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altName w:val="Century"/>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bo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901C8" w14:textId="77777777" w:rsidR="00F22879" w:rsidRDefault="00F2287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FBA30" w14:textId="77777777" w:rsidR="00F22879" w:rsidRDefault="00F22879">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07C46" w14:textId="77777777" w:rsidR="00F22879" w:rsidRDefault="00F2287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0E5F8" w14:textId="77777777" w:rsidR="00C730DD" w:rsidRDefault="00C730DD">
      <w:r>
        <w:separator/>
      </w:r>
    </w:p>
  </w:footnote>
  <w:footnote w:type="continuationSeparator" w:id="0">
    <w:p w14:paraId="276F0924" w14:textId="77777777" w:rsidR="00C730DD" w:rsidRDefault="00C73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F9B8F" w14:textId="77777777" w:rsidR="00F22879" w:rsidRDefault="00F2287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8654B" w14:textId="77777777" w:rsidR="00F22879" w:rsidRDefault="00F22879">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59A74" w14:textId="77777777" w:rsidR="00F22879" w:rsidRDefault="00F2287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268A8"/>
    <w:multiLevelType w:val="hybridMultilevel"/>
    <w:tmpl w:val="1CB21B4A"/>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86B6F75"/>
    <w:multiLevelType w:val="hybridMultilevel"/>
    <w:tmpl w:val="CB82B370"/>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992FB4"/>
    <w:multiLevelType w:val="hybridMultilevel"/>
    <w:tmpl w:val="F25EA6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0274E9"/>
    <w:multiLevelType w:val="hybridMultilevel"/>
    <w:tmpl w:val="E8709B6E"/>
    <w:lvl w:ilvl="0" w:tplc="041D000F">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 w15:restartNumberingAfterBreak="0">
    <w:nsid w:val="30DF248F"/>
    <w:multiLevelType w:val="hybridMultilevel"/>
    <w:tmpl w:val="8C4A88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2D42F9F"/>
    <w:multiLevelType w:val="hybridMultilevel"/>
    <w:tmpl w:val="23F6E4A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4FF60C1"/>
    <w:multiLevelType w:val="hybridMultilevel"/>
    <w:tmpl w:val="B2D653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9D615D6"/>
    <w:multiLevelType w:val="hybridMultilevel"/>
    <w:tmpl w:val="00620978"/>
    <w:lvl w:ilvl="0" w:tplc="05F4B832">
      <w:numFmt w:val="bullet"/>
      <w:lvlText w:val=""/>
      <w:lvlJc w:val="left"/>
      <w:pPr>
        <w:ind w:left="1080" w:hanging="360"/>
      </w:pPr>
      <w:rPr>
        <w:rFonts w:ascii="Symbol" w:eastAsia="Times New Roman" w:hAnsi="Symbol"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4"/>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12E"/>
    <w:rsid w:val="000114CC"/>
    <w:rsid w:val="00020DF8"/>
    <w:rsid w:val="00023C1C"/>
    <w:rsid w:val="00034AE9"/>
    <w:rsid w:val="000367CF"/>
    <w:rsid w:val="00042EF9"/>
    <w:rsid w:val="00064D68"/>
    <w:rsid w:val="00082D9A"/>
    <w:rsid w:val="00086B89"/>
    <w:rsid w:val="00092C99"/>
    <w:rsid w:val="00093EDB"/>
    <w:rsid w:val="000964A5"/>
    <w:rsid w:val="000B764D"/>
    <w:rsid w:val="000C57C0"/>
    <w:rsid w:val="000C74D2"/>
    <w:rsid w:val="000D009E"/>
    <w:rsid w:val="000D4D66"/>
    <w:rsid w:val="000D5296"/>
    <w:rsid w:val="000E4FC8"/>
    <w:rsid w:val="000E6DBB"/>
    <w:rsid w:val="000F2DB8"/>
    <w:rsid w:val="00102415"/>
    <w:rsid w:val="00120E77"/>
    <w:rsid w:val="00126F97"/>
    <w:rsid w:val="00130A8F"/>
    <w:rsid w:val="001413BB"/>
    <w:rsid w:val="00142A9D"/>
    <w:rsid w:val="00145ACB"/>
    <w:rsid w:val="00182CA2"/>
    <w:rsid w:val="00190D9E"/>
    <w:rsid w:val="0019769C"/>
    <w:rsid w:val="001B680E"/>
    <w:rsid w:val="001D5390"/>
    <w:rsid w:val="001F46F1"/>
    <w:rsid w:val="002320C6"/>
    <w:rsid w:val="00263A0D"/>
    <w:rsid w:val="00264C14"/>
    <w:rsid w:val="0027172A"/>
    <w:rsid w:val="002760DD"/>
    <w:rsid w:val="00283452"/>
    <w:rsid w:val="002915C8"/>
    <w:rsid w:val="00291F32"/>
    <w:rsid w:val="002B539A"/>
    <w:rsid w:val="002C3D0E"/>
    <w:rsid w:val="002D09AA"/>
    <w:rsid w:val="002E45DA"/>
    <w:rsid w:val="002E782C"/>
    <w:rsid w:val="002F4751"/>
    <w:rsid w:val="00306A50"/>
    <w:rsid w:val="0031312E"/>
    <w:rsid w:val="00315797"/>
    <w:rsid w:val="00315B0A"/>
    <w:rsid w:val="003249DA"/>
    <w:rsid w:val="00336E21"/>
    <w:rsid w:val="00350B8D"/>
    <w:rsid w:val="00363D58"/>
    <w:rsid w:val="00383A20"/>
    <w:rsid w:val="003868BB"/>
    <w:rsid w:val="003911F1"/>
    <w:rsid w:val="003917D6"/>
    <w:rsid w:val="003A5F64"/>
    <w:rsid w:val="003B5C2C"/>
    <w:rsid w:val="003E012A"/>
    <w:rsid w:val="003E608A"/>
    <w:rsid w:val="003F674D"/>
    <w:rsid w:val="00403C97"/>
    <w:rsid w:val="00411E9D"/>
    <w:rsid w:val="00432EDE"/>
    <w:rsid w:val="004426A2"/>
    <w:rsid w:val="0045041D"/>
    <w:rsid w:val="00452931"/>
    <w:rsid w:val="004736C9"/>
    <w:rsid w:val="00474BB4"/>
    <w:rsid w:val="004A7496"/>
    <w:rsid w:val="004B1324"/>
    <w:rsid w:val="004B6AE9"/>
    <w:rsid w:val="004D4CBC"/>
    <w:rsid w:val="004D72FD"/>
    <w:rsid w:val="004E168A"/>
    <w:rsid w:val="004F5AFE"/>
    <w:rsid w:val="005040FB"/>
    <w:rsid w:val="00506821"/>
    <w:rsid w:val="005466B0"/>
    <w:rsid w:val="00551A1D"/>
    <w:rsid w:val="00553BFF"/>
    <w:rsid w:val="00555C9E"/>
    <w:rsid w:val="005601AA"/>
    <w:rsid w:val="00564418"/>
    <w:rsid w:val="005757BE"/>
    <w:rsid w:val="00587463"/>
    <w:rsid w:val="005A3DAE"/>
    <w:rsid w:val="005D6D22"/>
    <w:rsid w:val="005F1262"/>
    <w:rsid w:val="005F4DDE"/>
    <w:rsid w:val="005F5FD8"/>
    <w:rsid w:val="006413D0"/>
    <w:rsid w:val="00685756"/>
    <w:rsid w:val="00687D17"/>
    <w:rsid w:val="00691B75"/>
    <w:rsid w:val="006A30AD"/>
    <w:rsid w:val="006B10AC"/>
    <w:rsid w:val="006B5EE5"/>
    <w:rsid w:val="006C3BB5"/>
    <w:rsid w:val="006C4FE9"/>
    <w:rsid w:val="006D6C49"/>
    <w:rsid w:val="006E20C5"/>
    <w:rsid w:val="006F2376"/>
    <w:rsid w:val="006F5B5B"/>
    <w:rsid w:val="00722AA0"/>
    <w:rsid w:val="00733650"/>
    <w:rsid w:val="007338B8"/>
    <w:rsid w:val="00751364"/>
    <w:rsid w:val="00772A6A"/>
    <w:rsid w:val="00782FFE"/>
    <w:rsid w:val="007A5438"/>
    <w:rsid w:val="007C215A"/>
    <w:rsid w:val="007D23F3"/>
    <w:rsid w:val="007D35D3"/>
    <w:rsid w:val="007F2F43"/>
    <w:rsid w:val="007F63C9"/>
    <w:rsid w:val="00817001"/>
    <w:rsid w:val="008430E8"/>
    <w:rsid w:val="00886FA6"/>
    <w:rsid w:val="0089671F"/>
    <w:rsid w:val="008B0D90"/>
    <w:rsid w:val="008C12ED"/>
    <w:rsid w:val="008C28AE"/>
    <w:rsid w:val="009105EA"/>
    <w:rsid w:val="00910677"/>
    <w:rsid w:val="00942AD8"/>
    <w:rsid w:val="0095049D"/>
    <w:rsid w:val="00970186"/>
    <w:rsid w:val="00992E8F"/>
    <w:rsid w:val="009C5CB9"/>
    <w:rsid w:val="009D1280"/>
    <w:rsid w:val="009F0FE8"/>
    <w:rsid w:val="00A02364"/>
    <w:rsid w:val="00A145C1"/>
    <w:rsid w:val="00A15BCA"/>
    <w:rsid w:val="00A168FA"/>
    <w:rsid w:val="00A332AF"/>
    <w:rsid w:val="00A3669A"/>
    <w:rsid w:val="00A42F6C"/>
    <w:rsid w:val="00A437FD"/>
    <w:rsid w:val="00A6349A"/>
    <w:rsid w:val="00A64F03"/>
    <w:rsid w:val="00A938DC"/>
    <w:rsid w:val="00AA280C"/>
    <w:rsid w:val="00AB6478"/>
    <w:rsid w:val="00AD64D0"/>
    <w:rsid w:val="00AD7376"/>
    <w:rsid w:val="00AF105E"/>
    <w:rsid w:val="00AF7C46"/>
    <w:rsid w:val="00B036A5"/>
    <w:rsid w:val="00B04A8C"/>
    <w:rsid w:val="00B07D2B"/>
    <w:rsid w:val="00B14F0E"/>
    <w:rsid w:val="00B24AD6"/>
    <w:rsid w:val="00B27756"/>
    <w:rsid w:val="00B31394"/>
    <w:rsid w:val="00B73492"/>
    <w:rsid w:val="00B739E1"/>
    <w:rsid w:val="00B8620D"/>
    <w:rsid w:val="00BA3DEB"/>
    <w:rsid w:val="00BA5A93"/>
    <w:rsid w:val="00BB270B"/>
    <w:rsid w:val="00BC62CC"/>
    <w:rsid w:val="00BD22CA"/>
    <w:rsid w:val="00BD6704"/>
    <w:rsid w:val="00BF0ED0"/>
    <w:rsid w:val="00BF3FD5"/>
    <w:rsid w:val="00BF52D5"/>
    <w:rsid w:val="00C023D5"/>
    <w:rsid w:val="00C4774F"/>
    <w:rsid w:val="00C53917"/>
    <w:rsid w:val="00C53AD4"/>
    <w:rsid w:val="00C559C0"/>
    <w:rsid w:val="00C5761A"/>
    <w:rsid w:val="00C730DD"/>
    <w:rsid w:val="00C74CCE"/>
    <w:rsid w:val="00C81D8B"/>
    <w:rsid w:val="00C83E26"/>
    <w:rsid w:val="00C867F5"/>
    <w:rsid w:val="00C92CB1"/>
    <w:rsid w:val="00CE180A"/>
    <w:rsid w:val="00CE4230"/>
    <w:rsid w:val="00CF164D"/>
    <w:rsid w:val="00D07400"/>
    <w:rsid w:val="00D14949"/>
    <w:rsid w:val="00D44883"/>
    <w:rsid w:val="00D623F4"/>
    <w:rsid w:val="00D636F5"/>
    <w:rsid w:val="00D6743D"/>
    <w:rsid w:val="00D818C9"/>
    <w:rsid w:val="00D91A96"/>
    <w:rsid w:val="00D970A1"/>
    <w:rsid w:val="00DA2E3B"/>
    <w:rsid w:val="00DC3D2D"/>
    <w:rsid w:val="00DF7FB0"/>
    <w:rsid w:val="00E2323D"/>
    <w:rsid w:val="00E33BA5"/>
    <w:rsid w:val="00E36E83"/>
    <w:rsid w:val="00E44662"/>
    <w:rsid w:val="00E5161A"/>
    <w:rsid w:val="00E80C7F"/>
    <w:rsid w:val="00E85668"/>
    <w:rsid w:val="00EB2481"/>
    <w:rsid w:val="00EC0CF0"/>
    <w:rsid w:val="00ED0F4F"/>
    <w:rsid w:val="00ED5429"/>
    <w:rsid w:val="00EF6CB2"/>
    <w:rsid w:val="00F038B5"/>
    <w:rsid w:val="00F0525E"/>
    <w:rsid w:val="00F053B1"/>
    <w:rsid w:val="00F1778F"/>
    <w:rsid w:val="00F22879"/>
    <w:rsid w:val="00F34CFD"/>
    <w:rsid w:val="00F41FC8"/>
    <w:rsid w:val="00F53E3F"/>
    <w:rsid w:val="00F57200"/>
    <w:rsid w:val="00F728C7"/>
    <w:rsid w:val="00F733E0"/>
    <w:rsid w:val="00F81601"/>
    <w:rsid w:val="00F96963"/>
    <w:rsid w:val="00FB3A8C"/>
    <w:rsid w:val="00FD7927"/>
    <w:rsid w:val="00FE5625"/>
    <w:rsid w:val="00FE574E"/>
    <w:rsid w:val="00FF2B1D"/>
    <w:rsid w:val="00FF6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C08EAF3"/>
  <w15:docId w15:val="{EC476382-C393-410D-B333-046CC889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12E"/>
    <w:pPr>
      <w:spacing w:after="0" w:line="240" w:lineRule="auto"/>
    </w:pPr>
    <w:rPr>
      <w:rFonts w:ascii="Times New Roman" w:eastAsia="Times New Roman" w:hAnsi="Times New Roman" w:cs="Times New Roman"/>
      <w:sz w:val="24"/>
      <w:szCs w:val="20"/>
      <w:lang w:val="en-US" w:eastAsia="sv-SE"/>
    </w:rPr>
  </w:style>
  <w:style w:type="paragraph" w:styleId="Rubrik3">
    <w:name w:val="heading 3"/>
    <w:basedOn w:val="Normal"/>
    <w:next w:val="Normal"/>
    <w:link w:val="Rubrik3Char"/>
    <w:qFormat/>
    <w:rsid w:val="0031312E"/>
    <w:pPr>
      <w:keepNext/>
      <w:tabs>
        <w:tab w:val="left" w:pos="7380"/>
        <w:tab w:val="left" w:pos="7920"/>
      </w:tabs>
      <w:ind w:left="380" w:right="1600" w:firstLine="1180"/>
      <w:jc w:val="both"/>
      <w:outlineLvl w:val="2"/>
    </w:pPr>
    <w:rPr>
      <w:rFonts w:ascii="Century Schoolbook" w:hAnsi="Century Schoolbook"/>
      <w:b/>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rsid w:val="0031312E"/>
    <w:rPr>
      <w:rFonts w:ascii="Century Schoolbook" w:eastAsia="Times New Roman" w:hAnsi="Century Schoolbook" w:cs="Times New Roman"/>
      <w:b/>
      <w:sz w:val="24"/>
      <w:szCs w:val="20"/>
      <w:lang w:eastAsia="sv-SE"/>
    </w:rPr>
  </w:style>
  <w:style w:type="paragraph" w:styleId="Sidhuvud">
    <w:name w:val="header"/>
    <w:basedOn w:val="Normal"/>
    <w:link w:val="SidhuvudChar"/>
    <w:rsid w:val="0031312E"/>
    <w:pPr>
      <w:tabs>
        <w:tab w:val="center" w:pos="4536"/>
        <w:tab w:val="right" w:pos="9072"/>
      </w:tabs>
    </w:pPr>
  </w:style>
  <w:style w:type="character" w:customStyle="1" w:styleId="SidhuvudChar">
    <w:name w:val="Sidhuvud Char"/>
    <w:basedOn w:val="Standardstycketeckensnitt"/>
    <w:link w:val="Sidhuvud"/>
    <w:rsid w:val="0031312E"/>
    <w:rPr>
      <w:rFonts w:ascii="Times New Roman" w:eastAsia="Times New Roman" w:hAnsi="Times New Roman" w:cs="Times New Roman"/>
      <w:sz w:val="24"/>
      <w:szCs w:val="20"/>
      <w:lang w:val="en-US" w:eastAsia="sv-SE"/>
    </w:rPr>
  </w:style>
  <w:style w:type="paragraph" w:styleId="Sidfot">
    <w:name w:val="footer"/>
    <w:basedOn w:val="Normal"/>
    <w:link w:val="SidfotChar"/>
    <w:uiPriority w:val="99"/>
    <w:rsid w:val="0031312E"/>
    <w:pPr>
      <w:tabs>
        <w:tab w:val="center" w:pos="4536"/>
        <w:tab w:val="right" w:pos="9072"/>
      </w:tabs>
    </w:pPr>
  </w:style>
  <w:style w:type="character" w:customStyle="1" w:styleId="SidfotChar">
    <w:name w:val="Sidfot Char"/>
    <w:basedOn w:val="Standardstycketeckensnitt"/>
    <w:link w:val="Sidfot"/>
    <w:uiPriority w:val="99"/>
    <w:rsid w:val="0031312E"/>
    <w:rPr>
      <w:rFonts w:ascii="Times New Roman" w:eastAsia="Times New Roman" w:hAnsi="Times New Roman" w:cs="Times New Roman"/>
      <w:sz w:val="24"/>
      <w:szCs w:val="20"/>
      <w:lang w:val="en-US" w:eastAsia="sv-SE"/>
    </w:rPr>
  </w:style>
  <w:style w:type="paragraph" w:styleId="Liststycke">
    <w:name w:val="List Paragraph"/>
    <w:basedOn w:val="Normal"/>
    <w:uiPriority w:val="34"/>
    <w:qFormat/>
    <w:rsid w:val="00CE4230"/>
    <w:pPr>
      <w:ind w:left="720"/>
      <w:contextualSpacing/>
    </w:pPr>
  </w:style>
  <w:style w:type="paragraph" w:styleId="Ballongtext">
    <w:name w:val="Balloon Text"/>
    <w:basedOn w:val="Normal"/>
    <w:link w:val="BallongtextChar"/>
    <w:uiPriority w:val="99"/>
    <w:semiHidden/>
    <w:unhideWhenUsed/>
    <w:rsid w:val="000D009E"/>
    <w:rPr>
      <w:rFonts w:ascii="Tahoma" w:hAnsi="Tahoma" w:cs="Tahoma"/>
      <w:sz w:val="16"/>
      <w:szCs w:val="16"/>
    </w:rPr>
  </w:style>
  <w:style w:type="character" w:customStyle="1" w:styleId="BallongtextChar">
    <w:name w:val="Ballongtext Char"/>
    <w:basedOn w:val="Standardstycketeckensnitt"/>
    <w:link w:val="Ballongtext"/>
    <w:uiPriority w:val="99"/>
    <w:semiHidden/>
    <w:rsid w:val="000D009E"/>
    <w:rPr>
      <w:rFonts w:ascii="Tahoma" w:eastAsia="Times New Roman" w:hAnsi="Tahoma" w:cs="Tahoma"/>
      <w:sz w:val="16"/>
      <w:szCs w:val="16"/>
      <w:lang w:val="en-US" w:eastAsia="sv-SE"/>
    </w:rPr>
  </w:style>
  <w:style w:type="paragraph" w:styleId="Revision">
    <w:name w:val="Revision"/>
    <w:hidden/>
    <w:uiPriority w:val="99"/>
    <w:semiHidden/>
    <w:rsid w:val="009D1280"/>
    <w:pPr>
      <w:spacing w:after="0" w:line="240" w:lineRule="auto"/>
    </w:pPr>
    <w:rPr>
      <w:rFonts w:ascii="Times New Roman" w:eastAsia="Times New Roman" w:hAnsi="Times New Roman" w:cs="Times New Roman"/>
      <w:sz w:val="24"/>
      <w:szCs w:val="20"/>
      <w:lang w:val="en-US" w:eastAsia="sv-SE"/>
    </w:rPr>
  </w:style>
  <w:style w:type="character" w:styleId="Hyperlnk">
    <w:name w:val="Hyperlink"/>
    <w:basedOn w:val="Standardstycketeckensnitt"/>
    <w:uiPriority w:val="99"/>
    <w:unhideWhenUsed/>
    <w:rsid w:val="00F41FC8"/>
    <w:rPr>
      <w:color w:val="0000FF" w:themeColor="hyperlink"/>
      <w:u w:val="single"/>
    </w:rPr>
  </w:style>
  <w:style w:type="character" w:styleId="Kommentarsreferens">
    <w:name w:val="annotation reference"/>
    <w:basedOn w:val="Standardstycketeckensnitt"/>
    <w:uiPriority w:val="99"/>
    <w:semiHidden/>
    <w:unhideWhenUsed/>
    <w:rsid w:val="000E6DBB"/>
    <w:rPr>
      <w:sz w:val="16"/>
      <w:szCs w:val="16"/>
    </w:rPr>
  </w:style>
  <w:style w:type="paragraph" w:styleId="Kommentarer">
    <w:name w:val="annotation text"/>
    <w:basedOn w:val="Normal"/>
    <w:link w:val="KommentarerChar"/>
    <w:uiPriority w:val="99"/>
    <w:semiHidden/>
    <w:unhideWhenUsed/>
    <w:rsid w:val="000E6DBB"/>
    <w:rPr>
      <w:sz w:val="20"/>
    </w:rPr>
  </w:style>
  <w:style w:type="character" w:customStyle="1" w:styleId="KommentarerChar">
    <w:name w:val="Kommentarer Char"/>
    <w:basedOn w:val="Standardstycketeckensnitt"/>
    <w:link w:val="Kommentarer"/>
    <w:uiPriority w:val="99"/>
    <w:semiHidden/>
    <w:rsid w:val="000E6DBB"/>
    <w:rPr>
      <w:rFonts w:ascii="Times New Roman" w:eastAsia="Times New Roman" w:hAnsi="Times New Roman" w:cs="Times New Roman"/>
      <w:sz w:val="20"/>
      <w:szCs w:val="20"/>
      <w:lang w:val="en-US" w:eastAsia="sv-SE"/>
    </w:rPr>
  </w:style>
  <w:style w:type="paragraph" w:styleId="Kommentarsmne">
    <w:name w:val="annotation subject"/>
    <w:basedOn w:val="Kommentarer"/>
    <w:next w:val="Kommentarer"/>
    <w:link w:val="KommentarsmneChar"/>
    <w:uiPriority w:val="99"/>
    <w:semiHidden/>
    <w:unhideWhenUsed/>
    <w:rsid w:val="000E6DBB"/>
    <w:rPr>
      <w:b/>
      <w:bCs/>
    </w:rPr>
  </w:style>
  <w:style w:type="character" w:customStyle="1" w:styleId="KommentarsmneChar">
    <w:name w:val="Kommentarsämne Char"/>
    <w:basedOn w:val="KommentarerChar"/>
    <w:link w:val="Kommentarsmne"/>
    <w:uiPriority w:val="99"/>
    <w:semiHidden/>
    <w:rsid w:val="000E6DBB"/>
    <w:rPr>
      <w:rFonts w:ascii="Times New Roman" w:eastAsia="Times New Roman" w:hAnsi="Times New Roman" w:cs="Times New Roman"/>
      <w:b/>
      <w:bCs/>
      <w:sz w:val="20"/>
      <w:szCs w:val="20"/>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98053">
      <w:bodyDiv w:val="1"/>
      <w:marLeft w:val="0"/>
      <w:marRight w:val="0"/>
      <w:marTop w:val="0"/>
      <w:marBottom w:val="0"/>
      <w:divBdr>
        <w:top w:val="none" w:sz="0" w:space="0" w:color="auto"/>
        <w:left w:val="none" w:sz="0" w:space="0" w:color="auto"/>
        <w:bottom w:val="none" w:sz="0" w:space="0" w:color="auto"/>
        <w:right w:val="none" w:sz="0" w:space="0" w:color="auto"/>
      </w:divBdr>
    </w:div>
    <w:div w:id="816531014">
      <w:bodyDiv w:val="1"/>
      <w:marLeft w:val="0"/>
      <w:marRight w:val="0"/>
      <w:marTop w:val="0"/>
      <w:marBottom w:val="0"/>
      <w:divBdr>
        <w:top w:val="none" w:sz="0" w:space="0" w:color="auto"/>
        <w:left w:val="none" w:sz="0" w:space="0" w:color="auto"/>
        <w:bottom w:val="none" w:sz="0" w:space="0" w:color="auto"/>
        <w:right w:val="none" w:sz="0" w:space="0" w:color="auto"/>
      </w:divBdr>
    </w:div>
    <w:div w:id="1289896443">
      <w:bodyDiv w:val="1"/>
      <w:marLeft w:val="0"/>
      <w:marRight w:val="0"/>
      <w:marTop w:val="0"/>
      <w:marBottom w:val="0"/>
      <w:divBdr>
        <w:top w:val="none" w:sz="0" w:space="0" w:color="auto"/>
        <w:left w:val="none" w:sz="0" w:space="0" w:color="auto"/>
        <w:bottom w:val="none" w:sz="0" w:space="0" w:color="auto"/>
        <w:right w:val="none" w:sz="0" w:space="0" w:color="auto"/>
      </w:divBdr>
    </w:div>
    <w:div w:id="1298024003">
      <w:bodyDiv w:val="1"/>
      <w:marLeft w:val="0"/>
      <w:marRight w:val="0"/>
      <w:marTop w:val="0"/>
      <w:marBottom w:val="0"/>
      <w:divBdr>
        <w:top w:val="none" w:sz="0" w:space="0" w:color="auto"/>
        <w:left w:val="none" w:sz="0" w:space="0" w:color="auto"/>
        <w:bottom w:val="none" w:sz="0" w:space="0" w:color="auto"/>
        <w:right w:val="none" w:sz="0" w:space="0" w:color="auto"/>
      </w:divBdr>
    </w:div>
    <w:div w:id="1550607237">
      <w:bodyDiv w:val="1"/>
      <w:marLeft w:val="0"/>
      <w:marRight w:val="0"/>
      <w:marTop w:val="0"/>
      <w:marBottom w:val="0"/>
      <w:divBdr>
        <w:top w:val="none" w:sz="0" w:space="0" w:color="auto"/>
        <w:left w:val="none" w:sz="0" w:space="0" w:color="auto"/>
        <w:bottom w:val="none" w:sz="0" w:space="0" w:color="auto"/>
        <w:right w:val="none" w:sz="0" w:space="0" w:color="auto"/>
      </w:divBdr>
    </w:div>
    <w:div w:id="1869567836">
      <w:bodyDiv w:val="1"/>
      <w:marLeft w:val="0"/>
      <w:marRight w:val="0"/>
      <w:marTop w:val="0"/>
      <w:marBottom w:val="0"/>
      <w:divBdr>
        <w:top w:val="none" w:sz="0" w:space="0" w:color="auto"/>
        <w:left w:val="none" w:sz="0" w:space="0" w:color="auto"/>
        <w:bottom w:val="none" w:sz="0" w:space="0" w:color="auto"/>
        <w:right w:val="none" w:sz="0" w:space="0" w:color="auto"/>
      </w:divBdr>
    </w:div>
    <w:div w:id="203826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2437</Words>
  <Characters>12920</Characters>
  <Application>Microsoft Office Word</Application>
  <DocSecurity>0</DocSecurity>
  <Lines>107</Lines>
  <Paragraphs>30</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Hartman</dc:creator>
  <cp:lastModifiedBy>Erik Hartman</cp:lastModifiedBy>
  <cp:revision>5</cp:revision>
  <cp:lastPrinted>2012-10-31T08:20:00Z</cp:lastPrinted>
  <dcterms:created xsi:type="dcterms:W3CDTF">2015-11-17T09:49:00Z</dcterms:created>
  <dcterms:modified xsi:type="dcterms:W3CDTF">2015-12-01T14:30:00Z</dcterms:modified>
</cp:coreProperties>
</file>